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915" w:rsidRPr="00A67A74" w:rsidRDefault="00F533B3" w:rsidP="00F533B3">
      <w:pPr>
        <w:jc w:val="center"/>
        <w:rPr>
          <w:b/>
          <w:sz w:val="28"/>
          <w:szCs w:val="28"/>
          <w:lang w:val="en-GB"/>
        </w:rPr>
      </w:pPr>
      <w:r w:rsidRPr="00A67A74">
        <w:rPr>
          <w:b/>
          <w:sz w:val="28"/>
          <w:szCs w:val="28"/>
          <w:lang w:val="en-GB"/>
        </w:rPr>
        <w:t>Establishment of a branch</w:t>
      </w:r>
    </w:p>
    <w:p w:rsidR="00F533B3" w:rsidRPr="00627305" w:rsidRDefault="00F533B3" w:rsidP="00F533B3">
      <w:pPr>
        <w:jc w:val="center"/>
        <w:rPr>
          <w:b/>
          <w:sz w:val="28"/>
          <w:szCs w:val="28"/>
          <w:lang w:val="en-GB"/>
        </w:rPr>
      </w:pPr>
    </w:p>
    <w:p w:rsidR="00627305" w:rsidRDefault="00627305" w:rsidP="004249C1">
      <w:pPr>
        <w:pStyle w:val="Listenabsatz"/>
        <w:numPr>
          <w:ilvl w:val="0"/>
          <w:numId w:val="2"/>
        </w:numPr>
        <w:rPr>
          <w:b/>
          <w:lang w:val="en-GB"/>
        </w:rPr>
      </w:pPr>
      <w:r w:rsidRPr="00627305">
        <w:rPr>
          <w:b/>
          <w:lang w:val="en-GB"/>
        </w:rPr>
        <w:t>form</w:t>
      </w:r>
      <w:r w:rsidR="004249C1" w:rsidRPr="00627305">
        <w:rPr>
          <w:b/>
          <w:lang w:val="en-GB"/>
        </w:rPr>
        <w:t xml:space="preserve"> to be provided with the notification</w:t>
      </w:r>
    </w:p>
    <w:p w:rsidR="004249C1" w:rsidRPr="00627305" w:rsidRDefault="004249C1" w:rsidP="00627305">
      <w:pPr>
        <w:pStyle w:val="Listenabsatz"/>
        <w:ind w:left="360"/>
        <w:rPr>
          <w:b/>
          <w:lang w:val="en-GB"/>
        </w:rPr>
      </w:pPr>
      <w:r w:rsidRPr="00627305">
        <w:rPr>
          <w:b/>
          <w:lang w:val="en-GB"/>
        </w:rPr>
        <w:t xml:space="preserve"> </w:t>
      </w:r>
    </w:p>
    <w:p w:rsidR="00A67A74" w:rsidRPr="00627305" w:rsidRDefault="004249C1" w:rsidP="00627305">
      <w:pPr>
        <w:rPr>
          <w:lang w:val="en-GB"/>
        </w:rPr>
      </w:pPr>
      <w:r w:rsidRPr="00627305">
        <w:rPr>
          <w:lang w:val="en-GB"/>
        </w:rPr>
        <w:t>(</w:t>
      </w:r>
      <w:proofErr w:type="gramStart"/>
      <w:r w:rsidRPr="00627305">
        <w:rPr>
          <w:lang w:val="en-GB"/>
        </w:rPr>
        <w:t>references</w:t>
      </w:r>
      <w:proofErr w:type="gramEnd"/>
      <w:r w:rsidRPr="00627305">
        <w:rPr>
          <w:lang w:val="en-GB"/>
        </w:rPr>
        <w:t xml:space="preserve"> to the </w:t>
      </w:r>
      <w:r w:rsidR="00627305">
        <w:rPr>
          <w:lang w:val="en-GB"/>
        </w:rPr>
        <w:t>“</w:t>
      </w:r>
      <w:r w:rsidR="00627305" w:rsidRPr="00627305">
        <w:rPr>
          <w:lang w:val="en-GB"/>
        </w:rPr>
        <w:t>Decision of the Board of Supervisors on the collaboration of the insurance supervisory authorities of the Member State</w:t>
      </w:r>
      <w:r w:rsidR="00627305">
        <w:rPr>
          <w:lang w:val="en-GB"/>
        </w:rPr>
        <w:t>s of the European Economic Area</w:t>
      </w:r>
      <w:r w:rsidR="00627305" w:rsidRPr="00627305">
        <w:rPr>
          <w:lang w:val="en-GB"/>
        </w:rPr>
        <w:t xml:space="preserve"> (EIOPA-BoS-</w:t>
      </w:r>
      <w:r w:rsidR="003837E0">
        <w:rPr>
          <w:lang w:val="en-GB"/>
        </w:rPr>
        <w:t>21-234</w:t>
      </w:r>
      <w:r w:rsidR="00627305">
        <w:rPr>
          <w:lang w:val="en-GB"/>
        </w:rPr>
        <w:t xml:space="preserve"> and Annex EIOPA-BoS-</w:t>
      </w:r>
      <w:r w:rsidR="003837E0">
        <w:rPr>
          <w:lang w:val="en-GB"/>
        </w:rPr>
        <w:t>21-235</w:t>
      </w:r>
      <w:r w:rsidR="00627305" w:rsidRPr="00627305">
        <w:rPr>
          <w:lang w:val="en-GB"/>
        </w:rPr>
        <w:t>)</w:t>
      </w:r>
      <w:r w:rsidR="00627305">
        <w:rPr>
          <w:lang w:val="en-GB"/>
        </w:rPr>
        <w:t>”</w:t>
      </w:r>
      <w:r w:rsidRPr="00627305">
        <w:rPr>
          <w:lang w:val="en-GB"/>
        </w:rPr>
        <w:t xml:space="preserve"> in brackets)</w:t>
      </w:r>
    </w:p>
    <w:p w:rsidR="00A67A74" w:rsidRPr="009D0AF7" w:rsidRDefault="00A67A74" w:rsidP="00F533B3">
      <w:pPr>
        <w:jc w:val="center"/>
        <w:rPr>
          <w:b/>
          <w:sz w:val="28"/>
          <w:szCs w:val="28"/>
          <w:lang w:val="en-GB"/>
        </w:rPr>
      </w:pPr>
    </w:p>
    <w:p w:rsidR="00627305" w:rsidRPr="009D0AF7" w:rsidRDefault="00627305" w:rsidP="00F533B3">
      <w:pPr>
        <w:jc w:val="center"/>
        <w:rPr>
          <w:b/>
          <w:sz w:val="28"/>
          <w:szCs w:val="28"/>
          <w:lang w:val="en-GB"/>
        </w:rPr>
      </w:pPr>
    </w:p>
    <w:p w:rsidR="00627305" w:rsidRPr="009D0AF7" w:rsidRDefault="00627305" w:rsidP="00F533B3">
      <w:pPr>
        <w:jc w:val="center"/>
        <w:rPr>
          <w:b/>
          <w:lang w:val="en-GB"/>
        </w:rPr>
      </w:pPr>
    </w:p>
    <w:tbl>
      <w:tblPr>
        <w:tblStyle w:val="Tabellenraster"/>
        <w:tblW w:w="0" w:type="auto"/>
        <w:tblLook w:val="04A0" w:firstRow="1" w:lastRow="0" w:firstColumn="1" w:lastColumn="0" w:noHBand="0" w:noVBand="1"/>
      </w:tblPr>
      <w:tblGrid>
        <w:gridCol w:w="704"/>
        <w:gridCol w:w="8358"/>
      </w:tblGrid>
      <w:tr w:rsidR="00EF2363" w:rsidRPr="001A6245" w:rsidTr="00EF2363">
        <w:tc>
          <w:tcPr>
            <w:tcW w:w="704" w:type="dxa"/>
          </w:tcPr>
          <w:p w:rsidR="00EF2363" w:rsidRPr="00A67A74" w:rsidRDefault="00EF2363" w:rsidP="00EF2363">
            <w:pPr>
              <w:pStyle w:val="Listenabsatz"/>
              <w:numPr>
                <w:ilvl w:val="0"/>
                <w:numId w:val="1"/>
              </w:numPr>
              <w:rPr>
                <w:b/>
                <w:lang w:val="en-GB"/>
              </w:rPr>
            </w:pPr>
          </w:p>
        </w:tc>
        <w:tc>
          <w:tcPr>
            <w:tcW w:w="8358" w:type="dxa"/>
          </w:tcPr>
          <w:p w:rsidR="00EF2363" w:rsidRPr="00A67A74" w:rsidRDefault="00EF2363" w:rsidP="00EF2363">
            <w:pPr>
              <w:rPr>
                <w:b/>
                <w:lang w:val="en-GB"/>
              </w:rPr>
            </w:pPr>
            <w:r w:rsidRPr="00A67A74">
              <w:rPr>
                <w:b/>
                <w:lang w:val="en-GB"/>
              </w:rPr>
              <w:t>the name and address of the head office of the insurance undertaking (3.1.1.1. a))</w:t>
            </w:r>
          </w:p>
        </w:tc>
      </w:tr>
      <w:tr w:rsidR="00EF2363" w:rsidRPr="001A6245" w:rsidTr="00EF2363">
        <w:tc>
          <w:tcPr>
            <w:tcW w:w="704" w:type="dxa"/>
          </w:tcPr>
          <w:p w:rsidR="00EF2363" w:rsidRPr="00A67A74" w:rsidRDefault="00EF2363" w:rsidP="00F533B3">
            <w:pPr>
              <w:rPr>
                <w:b/>
                <w:lang w:val="en-GB"/>
              </w:rPr>
            </w:pPr>
          </w:p>
        </w:tc>
        <w:tc>
          <w:tcPr>
            <w:tcW w:w="8358" w:type="dxa"/>
          </w:tcPr>
          <w:p w:rsidR="00EF2363" w:rsidRPr="00A67A74" w:rsidRDefault="00EF2363" w:rsidP="00F533B3">
            <w:pPr>
              <w:rPr>
                <w:b/>
                <w:lang w:val="en-GB"/>
              </w:rPr>
            </w:pPr>
          </w:p>
          <w:p w:rsidR="00EF2363" w:rsidRPr="00A67A74" w:rsidRDefault="00EF2363" w:rsidP="00F533B3">
            <w:pPr>
              <w:rPr>
                <w:b/>
                <w:lang w:val="en-GB"/>
              </w:rPr>
            </w:pPr>
          </w:p>
          <w:p w:rsidR="00EF2363" w:rsidRPr="00A67A74" w:rsidRDefault="00EF2363" w:rsidP="00F533B3">
            <w:pPr>
              <w:rPr>
                <w:b/>
                <w:lang w:val="en-GB"/>
              </w:rPr>
            </w:pPr>
          </w:p>
          <w:p w:rsidR="00EF2363" w:rsidRPr="00A67A74" w:rsidRDefault="00EF2363" w:rsidP="00F533B3">
            <w:pPr>
              <w:rPr>
                <w:b/>
                <w:lang w:val="en-GB"/>
              </w:rPr>
            </w:pPr>
          </w:p>
        </w:tc>
      </w:tr>
      <w:tr w:rsidR="00EF2363" w:rsidRPr="001A6245" w:rsidTr="00EF2363">
        <w:tc>
          <w:tcPr>
            <w:tcW w:w="704" w:type="dxa"/>
          </w:tcPr>
          <w:p w:rsidR="00EF2363" w:rsidRPr="00A67A74" w:rsidRDefault="00EF2363" w:rsidP="00EF2363">
            <w:pPr>
              <w:pStyle w:val="Listenabsatz"/>
              <w:numPr>
                <w:ilvl w:val="0"/>
                <w:numId w:val="1"/>
              </w:numPr>
              <w:rPr>
                <w:b/>
                <w:lang w:val="en-GB"/>
              </w:rPr>
            </w:pPr>
          </w:p>
        </w:tc>
        <w:tc>
          <w:tcPr>
            <w:tcW w:w="8358" w:type="dxa"/>
          </w:tcPr>
          <w:p w:rsidR="00EF2363" w:rsidRPr="00A67A74" w:rsidRDefault="00EF2363" w:rsidP="00EF2363">
            <w:pPr>
              <w:rPr>
                <w:b/>
                <w:lang w:val="en-GB"/>
              </w:rPr>
            </w:pPr>
            <w:r w:rsidRPr="00A67A74">
              <w:rPr>
                <w:b/>
                <w:lang w:val="en-GB"/>
              </w:rPr>
              <w:t>the address of the branch in the Host Member State, from which documents, including all communications to the authorised agent, may be obtained or delivered to (3.1.1.1 b))</w:t>
            </w:r>
          </w:p>
        </w:tc>
      </w:tr>
      <w:tr w:rsidR="00EF2363" w:rsidRPr="001A6245" w:rsidTr="00EF2363">
        <w:tc>
          <w:tcPr>
            <w:tcW w:w="704" w:type="dxa"/>
          </w:tcPr>
          <w:p w:rsidR="00EF2363" w:rsidRPr="00A67A74" w:rsidRDefault="00EF2363" w:rsidP="00F533B3">
            <w:pPr>
              <w:rPr>
                <w:b/>
                <w:lang w:val="en-GB"/>
              </w:rPr>
            </w:pPr>
          </w:p>
        </w:tc>
        <w:tc>
          <w:tcPr>
            <w:tcW w:w="8358" w:type="dxa"/>
          </w:tcPr>
          <w:p w:rsidR="00EF2363" w:rsidRPr="00A67A74" w:rsidRDefault="00EF2363" w:rsidP="00F533B3">
            <w:pPr>
              <w:rPr>
                <w:b/>
                <w:lang w:val="en-GB"/>
              </w:rPr>
            </w:pPr>
          </w:p>
          <w:p w:rsidR="00EF2363" w:rsidRPr="00A67A74" w:rsidRDefault="00EF2363" w:rsidP="00F533B3">
            <w:pPr>
              <w:rPr>
                <w:b/>
                <w:lang w:val="en-GB"/>
              </w:rPr>
            </w:pPr>
          </w:p>
          <w:p w:rsidR="00EF2363" w:rsidRPr="00A67A74" w:rsidRDefault="00EF2363" w:rsidP="00F533B3">
            <w:pPr>
              <w:rPr>
                <w:b/>
                <w:lang w:val="en-GB"/>
              </w:rPr>
            </w:pPr>
          </w:p>
          <w:p w:rsidR="00EF2363" w:rsidRPr="00A67A74" w:rsidRDefault="00EF2363" w:rsidP="00F533B3">
            <w:pPr>
              <w:rPr>
                <w:b/>
                <w:lang w:val="en-GB"/>
              </w:rPr>
            </w:pPr>
          </w:p>
        </w:tc>
      </w:tr>
      <w:tr w:rsidR="00EF2363" w:rsidRPr="001A6245" w:rsidTr="00EF2363">
        <w:tc>
          <w:tcPr>
            <w:tcW w:w="704" w:type="dxa"/>
          </w:tcPr>
          <w:p w:rsidR="00EF2363" w:rsidRPr="00A67A74" w:rsidRDefault="00EF2363" w:rsidP="00EF2363">
            <w:pPr>
              <w:pStyle w:val="Listenabsatz"/>
              <w:numPr>
                <w:ilvl w:val="0"/>
                <w:numId w:val="1"/>
              </w:numPr>
              <w:rPr>
                <w:b/>
                <w:lang w:val="en-GB"/>
              </w:rPr>
            </w:pPr>
          </w:p>
        </w:tc>
        <w:tc>
          <w:tcPr>
            <w:tcW w:w="8358" w:type="dxa"/>
          </w:tcPr>
          <w:p w:rsidR="00EF2363" w:rsidRPr="00A67A74" w:rsidRDefault="00EF2363" w:rsidP="00EF2363">
            <w:pPr>
              <w:rPr>
                <w:b/>
                <w:lang w:val="en-GB"/>
              </w:rPr>
            </w:pPr>
            <w:r w:rsidRPr="00A67A74">
              <w:rPr>
                <w:b/>
                <w:lang w:val="en-GB"/>
              </w:rPr>
              <w:t>the classes of insurance according to the Annexes I and II to the Solvency II Directive, into which the planned business falls (3.1.1.1. c))</w:t>
            </w:r>
          </w:p>
        </w:tc>
      </w:tr>
      <w:tr w:rsidR="00EF2363" w:rsidRPr="001A6245" w:rsidTr="00EF2363">
        <w:tc>
          <w:tcPr>
            <w:tcW w:w="704" w:type="dxa"/>
          </w:tcPr>
          <w:p w:rsidR="00EF2363" w:rsidRPr="00A67A74" w:rsidRDefault="00EF2363" w:rsidP="00F533B3">
            <w:pPr>
              <w:rPr>
                <w:b/>
                <w:lang w:val="en-GB"/>
              </w:rPr>
            </w:pPr>
          </w:p>
        </w:tc>
        <w:tc>
          <w:tcPr>
            <w:tcW w:w="8358" w:type="dxa"/>
          </w:tcPr>
          <w:p w:rsidR="00EF2363" w:rsidRPr="00A67A74" w:rsidRDefault="00EF2363" w:rsidP="00F533B3">
            <w:pPr>
              <w:rPr>
                <w:b/>
                <w:lang w:val="en-GB"/>
              </w:rPr>
            </w:pPr>
          </w:p>
          <w:p w:rsidR="00436F81" w:rsidRPr="00A67A74" w:rsidRDefault="00436F81" w:rsidP="00F533B3">
            <w:pPr>
              <w:rPr>
                <w:b/>
                <w:lang w:val="en-GB"/>
              </w:rPr>
            </w:pPr>
          </w:p>
          <w:p w:rsidR="00436F81" w:rsidRPr="00A67A74" w:rsidRDefault="00436F81" w:rsidP="00F533B3">
            <w:pPr>
              <w:rPr>
                <w:b/>
                <w:lang w:val="en-GB"/>
              </w:rPr>
            </w:pPr>
          </w:p>
          <w:p w:rsidR="00436F81" w:rsidRPr="00A67A74" w:rsidRDefault="00436F81" w:rsidP="00F533B3">
            <w:pPr>
              <w:rPr>
                <w:b/>
                <w:lang w:val="en-GB"/>
              </w:rPr>
            </w:pPr>
          </w:p>
        </w:tc>
      </w:tr>
      <w:tr w:rsidR="00EF2363" w:rsidRPr="001A6245" w:rsidTr="00EF2363">
        <w:tc>
          <w:tcPr>
            <w:tcW w:w="704" w:type="dxa"/>
          </w:tcPr>
          <w:p w:rsidR="00EF2363" w:rsidRPr="00A67A74" w:rsidRDefault="00EF2363" w:rsidP="00EF2363">
            <w:pPr>
              <w:pStyle w:val="Listenabsatz"/>
              <w:numPr>
                <w:ilvl w:val="0"/>
                <w:numId w:val="1"/>
              </w:numPr>
              <w:rPr>
                <w:b/>
                <w:lang w:val="en-GB"/>
              </w:rPr>
            </w:pPr>
          </w:p>
        </w:tc>
        <w:tc>
          <w:tcPr>
            <w:tcW w:w="8358" w:type="dxa"/>
          </w:tcPr>
          <w:p w:rsidR="00EF2363" w:rsidRPr="00A67A74" w:rsidRDefault="00EF2363" w:rsidP="00632F57">
            <w:pPr>
              <w:rPr>
                <w:b/>
                <w:lang w:val="en-GB"/>
              </w:rPr>
            </w:pPr>
            <w:proofErr w:type="gramStart"/>
            <w:r w:rsidRPr="00A67A74">
              <w:rPr>
                <w:b/>
                <w:lang w:val="en-GB"/>
              </w:rPr>
              <w:t>the</w:t>
            </w:r>
            <w:proofErr w:type="gramEnd"/>
            <w:r w:rsidRPr="00A67A74">
              <w:rPr>
                <w:b/>
                <w:lang w:val="en-GB"/>
              </w:rPr>
              <w:t xml:space="preserve"> nature of the risks or commitments which the undertaking is proposing to cover through the branch</w:t>
            </w:r>
            <w:r w:rsidR="00436F81" w:rsidRPr="00A67A74">
              <w:rPr>
                <w:b/>
                <w:lang w:val="en-GB"/>
              </w:rPr>
              <w:t xml:space="preserve"> (3.1.1.1. d) </w:t>
            </w:r>
            <w:r w:rsidR="00632F57">
              <w:rPr>
                <w:b/>
                <w:lang w:val="en-GB"/>
              </w:rPr>
              <w:t>a.</w:t>
            </w:r>
            <w:r w:rsidR="00436F81" w:rsidRPr="00A67A74">
              <w:rPr>
                <w:b/>
                <w:lang w:val="en-GB"/>
              </w:rPr>
              <w:t>)</w:t>
            </w:r>
          </w:p>
        </w:tc>
      </w:tr>
      <w:tr w:rsidR="00EF2363" w:rsidRPr="001A6245" w:rsidTr="00EF2363">
        <w:tc>
          <w:tcPr>
            <w:tcW w:w="704" w:type="dxa"/>
          </w:tcPr>
          <w:p w:rsidR="00EF2363" w:rsidRPr="00A67A74" w:rsidRDefault="00EF2363" w:rsidP="00F533B3">
            <w:pPr>
              <w:rPr>
                <w:b/>
                <w:lang w:val="en-GB"/>
              </w:rPr>
            </w:pPr>
          </w:p>
        </w:tc>
        <w:tc>
          <w:tcPr>
            <w:tcW w:w="8358" w:type="dxa"/>
          </w:tcPr>
          <w:p w:rsidR="00EF2363" w:rsidRPr="00A67A74" w:rsidRDefault="00EF2363" w:rsidP="00F533B3">
            <w:pPr>
              <w:rPr>
                <w:b/>
                <w:lang w:val="en-GB"/>
              </w:rPr>
            </w:pPr>
          </w:p>
          <w:p w:rsidR="00436F81" w:rsidRPr="00A67A74" w:rsidRDefault="00436F81" w:rsidP="00F533B3">
            <w:pPr>
              <w:rPr>
                <w:b/>
                <w:lang w:val="en-GB"/>
              </w:rPr>
            </w:pPr>
          </w:p>
          <w:p w:rsidR="00436F81" w:rsidRPr="00A67A74" w:rsidRDefault="00436F81" w:rsidP="00F533B3">
            <w:pPr>
              <w:rPr>
                <w:b/>
                <w:lang w:val="en-GB"/>
              </w:rPr>
            </w:pPr>
          </w:p>
          <w:p w:rsidR="00436F81" w:rsidRPr="00A67A74" w:rsidRDefault="00436F81" w:rsidP="00F533B3">
            <w:pPr>
              <w:rPr>
                <w:b/>
                <w:lang w:val="en-GB"/>
              </w:rPr>
            </w:pPr>
          </w:p>
        </w:tc>
      </w:tr>
      <w:tr w:rsidR="00EF2363" w:rsidRPr="001A6245" w:rsidTr="00EF2363">
        <w:tc>
          <w:tcPr>
            <w:tcW w:w="704" w:type="dxa"/>
          </w:tcPr>
          <w:p w:rsidR="00EF2363" w:rsidRPr="00A67A74" w:rsidRDefault="00EF2363" w:rsidP="00EF2363">
            <w:pPr>
              <w:pStyle w:val="Listenabsatz"/>
              <w:numPr>
                <w:ilvl w:val="0"/>
                <w:numId w:val="1"/>
              </w:numPr>
              <w:rPr>
                <w:b/>
                <w:lang w:val="en-GB"/>
              </w:rPr>
            </w:pPr>
          </w:p>
        </w:tc>
        <w:tc>
          <w:tcPr>
            <w:tcW w:w="8358" w:type="dxa"/>
          </w:tcPr>
          <w:p w:rsidR="00EF2363" w:rsidRPr="00A67A74" w:rsidRDefault="00436F81" w:rsidP="00632F57">
            <w:pPr>
              <w:rPr>
                <w:b/>
                <w:lang w:val="en-GB"/>
              </w:rPr>
            </w:pPr>
            <w:proofErr w:type="gramStart"/>
            <w:r w:rsidRPr="00A67A74">
              <w:rPr>
                <w:b/>
                <w:lang w:val="en-GB"/>
              </w:rPr>
              <w:t>if</w:t>
            </w:r>
            <w:proofErr w:type="gramEnd"/>
            <w:r w:rsidRPr="00A67A74">
              <w:rPr>
                <w:b/>
                <w:lang w:val="en-GB"/>
              </w:rPr>
              <w:t xml:space="preserve"> available, the guiding principles as to reinsurance and to retrocession with respect to the branch operations (3.1.1.1. d) </w:t>
            </w:r>
            <w:r w:rsidR="00632F57">
              <w:rPr>
                <w:b/>
                <w:lang w:val="en-GB"/>
              </w:rPr>
              <w:t>b.</w:t>
            </w:r>
            <w:r w:rsidRPr="00A67A74">
              <w:rPr>
                <w:b/>
                <w:lang w:val="en-GB"/>
              </w:rPr>
              <w:t>)</w:t>
            </w:r>
          </w:p>
        </w:tc>
      </w:tr>
      <w:tr w:rsidR="00EF2363" w:rsidRPr="001A6245" w:rsidTr="00EF2363">
        <w:tc>
          <w:tcPr>
            <w:tcW w:w="704" w:type="dxa"/>
          </w:tcPr>
          <w:p w:rsidR="00EF2363" w:rsidRPr="00A67A74" w:rsidRDefault="00EF2363" w:rsidP="00F533B3">
            <w:pPr>
              <w:rPr>
                <w:b/>
                <w:lang w:val="en-GB"/>
              </w:rPr>
            </w:pPr>
          </w:p>
        </w:tc>
        <w:tc>
          <w:tcPr>
            <w:tcW w:w="8358" w:type="dxa"/>
          </w:tcPr>
          <w:p w:rsidR="00EF2363" w:rsidRPr="00A67A74" w:rsidRDefault="00EF2363" w:rsidP="00F533B3">
            <w:pPr>
              <w:rPr>
                <w:b/>
                <w:lang w:val="en-GB"/>
              </w:rPr>
            </w:pPr>
          </w:p>
          <w:p w:rsidR="00436F81" w:rsidRPr="00A67A74" w:rsidRDefault="00436F81" w:rsidP="00F533B3">
            <w:pPr>
              <w:rPr>
                <w:b/>
                <w:lang w:val="en-GB"/>
              </w:rPr>
            </w:pPr>
          </w:p>
          <w:p w:rsidR="00436F81" w:rsidRPr="00A67A74" w:rsidRDefault="00436F81" w:rsidP="00F533B3">
            <w:pPr>
              <w:rPr>
                <w:b/>
                <w:lang w:val="en-GB"/>
              </w:rPr>
            </w:pPr>
          </w:p>
          <w:p w:rsidR="00436F81" w:rsidRPr="00A67A74" w:rsidRDefault="00436F81" w:rsidP="00F533B3">
            <w:pPr>
              <w:rPr>
                <w:b/>
                <w:lang w:val="en-GB"/>
              </w:rPr>
            </w:pPr>
          </w:p>
        </w:tc>
      </w:tr>
      <w:tr w:rsidR="00EF2363" w:rsidRPr="001A6245" w:rsidTr="00EF2363">
        <w:tc>
          <w:tcPr>
            <w:tcW w:w="704" w:type="dxa"/>
          </w:tcPr>
          <w:p w:rsidR="00EF2363" w:rsidRPr="00A67A74" w:rsidRDefault="00EF2363" w:rsidP="00EF2363">
            <w:pPr>
              <w:pStyle w:val="Listenabsatz"/>
              <w:numPr>
                <w:ilvl w:val="0"/>
                <w:numId w:val="1"/>
              </w:numPr>
              <w:rPr>
                <w:b/>
                <w:lang w:val="en-GB"/>
              </w:rPr>
            </w:pPr>
          </w:p>
        </w:tc>
        <w:tc>
          <w:tcPr>
            <w:tcW w:w="8358" w:type="dxa"/>
          </w:tcPr>
          <w:p w:rsidR="00EF2363" w:rsidRPr="00A67A74" w:rsidRDefault="00436F81" w:rsidP="00632F57">
            <w:pPr>
              <w:rPr>
                <w:b/>
                <w:lang w:val="en-GB"/>
              </w:rPr>
            </w:pPr>
            <w:r w:rsidRPr="00A67A74">
              <w:rPr>
                <w:b/>
                <w:lang w:val="en-GB"/>
              </w:rPr>
              <w:t xml:space="preserve">if available, cost estimates for setting up the administrative services and organisation for securing business of the branch; the financial resources set aside for this purpose and, if the risks to be covered fall within class n°18 in Part A of Annex I to the Solvency II Directive, the company taking over assistance services or the resources available to the insurance undertaking to provide the promised assistance (3.1.1.1. d) </w:t>
            </w:r>
            <w:r w:rsidR="00632F57">
              <w:rPr>
                <w:b/>
                <w:lang w:val="en-GB"/>
              </w:rPr>
              <w:t>c.</w:t>
            </w:r>
            <w:r w:rsidRPr="00A67A74">
              <w:rPr>
                <w:b/>
                <w:lang w:val="en-GB"/>
              </w:rPr>
              <w:t>)</w:t>
            </w:r>
          </w:p>
        </w:tc>
      </w:tr>
      <w:tr w:rsidR="00EF2363" w:rsidRPr="001A6245" w:rsidTr="00EF2363">
        <w:tc>
          <w:tcPr>
            <w:tcW w:w="704" w:type="dxa"/>
          </w:tcPr>
          <w:p w:rsidR="00EF2363" w:rsidRPr="00A67A74" w:rsidRDefault="00EF2363" w:rsidP="00F533B3">
            <w:pPr>
              <w:rPr>
                <w:b/>
                <w:lang w:val="en-GB"/>
              </w:rPr>
            </w:pPr>
          </w:p>
        </w:tc>
        <w:tc>
          <w:tcPr>
            <w:tcW w:w="8358" w:type="dxa"/>
          </w:tcPr>
          <w:p w:rsidR="00EF2363" w:rsidRPr="00A67A74" w:rsidRDefault="00EF2363" w:rsidP="00F533B3">
            <w:pPr>
              <w:rPr>
                <w:b/>
                <w:lang w:val="en-GB"/>
              </w:rPr>
            </w:pPr>
          </w:p>
          <w:p w:rsidR="00436F81" w:rsidRPr="00A67A74" w:rsidRDefault="00436F81" w:rsidP="00F533B3">
            <w:pPr>
              <w:rPr>
                <w:b/>
                <w:lang w:val="en-GB"/>
              </w:rPr>
            </w:pPr>
          </w:p>
          <w:p w:rsidR="00436F81" w:rsidRPr="00A67A74" w:rsidRDefault="00436F81" w:rsidP="00F533B3">
            <w:pPr>
              <w:rPr>
                <w:b/>
                <w:lang w:val="en-GB"/>
              </w:rPr>
            </w:pPr>
          </w:p>
          <w:p w:rsidR="00436F81" w:rsidRPr="00A67A74" w:rsidRDefault="00436F81" w:rsidP="00F533B3">
            <w:pPr>
              <w:rPr>
                <w:b/>
                <w:lang w:val="en-GB"/>
              </w:rPr>
            </w:pPr>
          </w:p>
        </w:tc>
      </w:tr>
      <w:tr w:rsidR="00EF2363" w:rsidRPr="001A6245" w:rsidTr="00EF2363">
        <w:tc>
          <w:tcPr>
            <w:tcW w:w="704" w:type="dxa"/>
          </w:tcPr>
          <w:p w:rsidR="00EF2363" w:rsidRPr="00A67A74" w:rsidRDefault="00EF2363" w:rsidP="00F533B3">
            <w:pPr>
              <w:rPr>
                <w:b/>
                <w:lang w:val="en-GB"/>
              </w:rPr>
            </w:pPr>
            <w:r w:rsidRPr="00A67A74">
              <w:rPr>
                <w:b/>
                <w:lang w:val="en-GB"/>
              </w:rPr>
              <w:lastRenderedPageBreak/>
              <w:t>7.</w:t>
            </w:r>
          </w:p>
        </w:tc>
        <w:tc>
          <w:tcPr>
            <w:tcW w:w="8358" w:type="dxa"/>
          </w:tcPr>
          <w:p w:rsidR="00EF2363" w:rsidRPr="00A67A74" w:rsidRDefault="00436F81" w:rsidP="00632F57">
            <w:pPr>
              <w:rPr>
                <w:b/>
                <w:lang w:val="en-GB"/>
              </w:rPr>
            </w:pPr>
            <w:proofErr w:type="gramStart"/>
            <w:r w:rsidRPr="00A67A74">
              <w:rPr>
                <w:b/>
                <w:lang w:val="en-GB"/>
              </w:rPr>
              <w:t>the</w:t>
            </w:r>
            <w:proofErr w:type="gramEnd"/>
            <w:r w:rsidRPr="00A67A74">
              <w:rPr>
                <w:b/>
                <w:lang w:val="en-GB"/>
              </w:rPr>
              <w:t xml:space="preserve"> organisational structure of the branch (3.1.1.1 d) </w:t>
            </w:r>
            <w:r w:rsidR="00632F57">
              <w:rPr>
                <w:b/>
                <w:lang w:val="en-GB"/>
              </w:rPr>
              <w:t>d.</w:t>
            </w:r>
            <w:r w:rsidRPr="00A67A74">
              <w:rPr>
                <w:b/>
                <w:lang w:val="en-GB"/>
              </w:rPr>
              <w:t>)</w:t>
            </w:r>
          </w:p>
        </w:tc>
      </w:tr>
      <w:tr w:rsidR="00EF2363" w:rsidRPr="001A6245" w:rsidTr="00EF2363">
        <w:tc>
          <w:tcPr>
            <w:tcW w:w="704" w:type="dxa"/>
          </w:tcPr>
          <w:p w:rsidR="00EF2363" w:rsidRPr="00A67A74" w:rsidRDefault="00EF2363" w:rsidP="00F533B3">
            <w:pPr>
              <w:rPr>
                <w:b/>
                <w:lang w:val="en-GB"/>
              </w:rPr>
            </w:pPr>
          </w:p>
        </w:tc>
        <w:tc>
          <w:tcPr>
            <w:tcW w:w="8358" w:type="dxa"/>
          </w:tcPr>
          <w:p w:rsidR="00EF2363" w:rsidRPr="00A67A74" w:rsidRDefault="00EF2363" w:rsidP="00F533B3">
            <w:pPr>
              <w:rPr>
                <w:b/>
                <w:lang w:val="en-GB"/>
              </w:rPr>
            </w:pPr>
          </w:p>
          <w:p w:rsidR="00436F81" w:rsidRPr="00A67A74" w:rsidRDefault="00436F81" w:rsidP="00F533B3">
            <w:pPr>
              <w:rPr>
                <w:b/>
                <w:lang w:val="en-GB"/>
              </w:rPr>
            </w:pPr>
          </w:p>
          <w:p w:rsidR="00436F81" w:rsidRPr="00A67A74" w:rsidRDefault="00436F81" w:rsidP="00F533B3">
            <w:pPr>
              <w:rPr>
                <w:b/>
                <w:lang w:val="en-GB"/>
              </w:rPr>
            </w:pPr>
          </w:p>
          <w:p w:rsidR="00436F81" w:rsidRPr="00A67A74" w:rsidRDefault="00436F81" w:rsidP="00F533B3">
            <w:pPr>
              <w:rPr>
                <w:b/>
                <w:lang w:val="en-GB"/>
              </w:rPr>
            </w:pPr>
          </w:p>
        </w:tc>
      </w:tr>
      <w:tr w:rsidR="00EF2363" w:rsidRPr="001A6245" w:rsidTr="00EF2363">
        <w:tc>
          <w:tcPr>
            <w:tcW w:w="704" w:type="dxa"/>
          </w:tcPr>
          <w:p w:rsidR="00EF2363" w:rsidRPr="00A67A74" w:rsidRDefault="00EF2363" w:rsidP="00EF2363">
            <w:pPr>
              <w:rPr>
                <w:b/>
                <w:lang w:val="en-GB"/>
              </w:rPr>
            </w:pPr>
            <w:r w:rsidRPr="00A67A74">
              <w:rPr>
                <w:b/>
                <w:lang w:val="en-GB"/>
              </w:rPr>
              <w:t xml:space="preserve">8. </w:t>
            </w:r>
          </w:p>
        </w:tc>
        <w:tc>
          <w:tcPr>
            <w:tcW w:w="8358" w:type="dxa"/>
          </w:tcPr>
          <w:p w:rsidR="00436F81" w:rsidRPr="00A67A74" w:rsidRDefault="00436F81" w:rsidP="00436F81">
            <w:pPr>
              <w:rPr>
                <w:b/>
                <w:lang w:val="en-GB"/>
              </w:rPr>
            </w:pPr>
            <w:r w:rsidRPr="00A67A74">
              <w:rPr>
                <w:b/>
                <w:lang w:val="en-GB"/>
              </w:rPr>
              <w:t>if available, for the first three financial years of the branch:</w:t>
            </w:r>
          </w:p>
          <w:p w:rsidR="00436F81" w:rsidRPr="00A67A74" w:rsidRDefault="00436F81" w:rsidP="00436F81">
            <w:pPr>
              <w:rPr>
                <w:b/>
                <w:lang w:val="en-GB"/>
              </w:rPr>
            </w:pPr>
            <w:r w:rsidRPr="00A67A74">
              <w:rPr>
                <w:b/>
                <w:lang w:val="en-GB"/>
              </w:rPr>
              <w:t>- estimates of management expenses, other than installation costs. In particular, general expenses and commissions;</w:t>
            </w:r>
          </w:p>
          <w:p w:rsidR="00EF2363" w:rsidRPr="00A67A74" w:rsidRDefault="00436F81" w:rsidP="00632F57">
            <w:pPr>
              <w:rPr>
                <w:b/>
                <w:lang w:val="en-GB"/>
              </w:rPr>
            </w:pPr>
            <w:r w:rsidRPr="00A67A74">
              <w:rPr>
                <w:b/>
                <w:lang w:val="en-GB"/>
              </w:rPr>
              <w:t xml:space="preserve">- estimates of premiums or contributions and claims (3.1.1.1 d) </w:t>
            </w:r>
            <w:r w:rsidR="00632F57">
              <w:rPr>
                <w:b/>
                <w:lang w:val="en-GB"/>
              </w:rPr>
              <w:t>e.</w:t>
            </w:r>
            <w:r w:rsidRPr="00A67A74">
              <w:rPr>
                <w:b/>
                <w:lang w:val="en-GB"/>
              </w:rPr>
              <w:t>)</w:t>
            </w:r>
          </w:p>
        </w:tc>
      </w:tr>
      <w:tr w:rsidR="00EF2363" w:rsidRPr="001A6245" w:rsidTr="00EF2363">
        <w:tc>
          <w:tcPr>
            <w:tcW w:w="704" w:type="dxa"/>
          </w:tcPr>
          <w:p w:rsidR="00EF2363" w:rsidRPr="00A67A74" w:rsidRDefault="00EF2363" w:rsidP="00F533B3">
            <w:pPr>
              <w:rPr>
                <w:b/>
                <w:lang w:val="en-GB"/>
              </w:rPr>
            </w:pPr>
          </w:p>
        </w:tc>
        <w:tc>
          <w:tcPr>
            <w:tcW w:w="8358" w:type="dxa"/>
          </w:tcPr>
          <w:p w:rsidR="00EF2363" w:rsidRPr="00A67A74" w:rsidRDefault="00EF2363" w:rsidP="00F533B3">
            <w:pPr>
              <w:rPr>
                <w:b/>
                <w:lang w:val="en-GB"/>
              </w:rPr>
            </w:pPr>
          </w:p>
          <w:p w:rsidR="00436F81" w:rsidRPr="00A67A74" w:rsidRDefault="00436F81" w:rsidP="00F533B3">
            <w:pPr>
              <w:rPr>
                <w:b/>
                <w:lang w:val="en-GB"/>
              </w:rPr>
            </w:pPr>
          </w:p>
          <w:p w:rsidR="00436F81" w:rsidRPr="00A67A74" w:rsidRDefault="00436F81" w:rsidP="00F533B3">
            <w:pPr>
              <w:rPr>
                <w:b/>
                <w:lang w:val="en-GB"/>
              </w:rPr>
            </w:pPr>
          </w:p>
          <w:p w:rsidR="00436F81" w:rsidRPr="00A67A74" w:rsidRDefault="00436F81" w:rsidP="00F533B3">
            <w:pPr>
              <w:rPr>
                <w:b/>
                <w:lang w:val="en-GB"/>
              </w:rPr>
            </w:pPr>
          </w:p>
        </w:tc>
      </w:tr>
      <w:tr w:rsidR="00EF2363" w:rsidRPr="001A6245" w:rsidTr="00EF2363">
        <w:tc>
          <w:tcPr>
            <w:tcW w:w="704" w:type="dxa"/>
          </w:tcPr>
          <w:p w:rsidR="00EF2363" w:rsidRPr="00A67A74" w:rsidRDefault="00EF2363" w:rsidP="00F533B3">
            <w:pPr>
              <w:rPr>
                <w:b/>
                <w:lang w:val="en-GB"/>
              </w:rPr>
            </w:pPr>
            <w:r w:rsidRPr="00A67A74">
              <w:rPr>
                <w:b/>
                <w:lang w:val="en-GB"/>
              </w:rPr>
              <w:t xml:space="preserve">9. </w:t>
            </w:r>
          </w:p>
        </w:tc>
        <w:tc>
          <w:tcPr>
            <w:tcW w:w="8358" w:type="dxa"/>
          </w:tcPr>
          <w:p w:rsidR="00EF2363" w:rsidRPr="00A67A74" w:rsidRDefault="00436F81" w:rsidP="00436F81">
            <w:pPr>
              <w:rPr>
                <w:b/>
                <w:lang w:val="en-GB"/>
              </w:rPr>
            </w:pPr>
            <w:r w:rsidRPr="00A67A74">
              <w:rPr>
                <w:b/>
                <w:lang w:val="en-GB"/>
              </w:rPr>
              <w:t>the name of a person, and if available the e-mail address, who possesses sufficient powers to bind, in relation to third parties, the insurance undertaking or, in the case of Lloyd’s, the underwriters concerned and to represent it or them in relations with the authorities and courts of the host Member State (the authorised agent) and description of their powers (3.1.1.1 e))</w:t>
            </w:r>
          </w:p>
        </w:tc>
      </w:tr>
      <w:tr w:rsidR="00EF2363" w:rsidRPr="001A6245" w:rsidTr="00EF2363">
        <w:tc>
          <w:tcPr>
            <w:tcW w:w="704" w:type="dxa"/>
          </w:tcPr>
          <w:p w:rsidR="00EF2363" w:rsidRPr="00A67A74" w:rsidRDefault="00EF2363" w:rsidP="00F533B3">
            <w:pPr>
              <w:rPr>
                <w:b/>
                <w:lang w:val="en-GB"/>
              </w:rPr>
            </w:pPr>
          </w:p>
        </w:tc>
        <w:tc>
          <w:tcPr>
            <w:tcW w:w="8358" w:type="dxa"/>
          </w:tcPr>
          <w:p w:rsidR="00EF2363" w:rsidRPr="00A67A74" w:rsidRDefault="00EF2363" w:rsidP="00F533B3">
            <w:pPr>
              <w:rPr>
                <w:b/>
                <w:lang w:val="en-GB"/>
              </w:rPr>
            </w:pPr>
          </w:p>
          <w:p w:rsidR="00436F81" w:rsidRPr="00A67A74" w:rsidRDefault="00436F81" w:rsidP="00F533B3">
            <w:pPr>
              <w:rPr>
                <w:b/>
                <w:lang w:val="en-GB"/>
              </w:rPr>
            </w:pPr>
          </w:p>
          <w:p w:rsidR="00436F81" w:rsidRPr="00A67A74" w:rsidRDefault="00436F81" w:rsidP="00F533B3">
            <w:pPr>
              <w:rPr>
                <w:b/>
                <w:lang w:val="en-GB"/>
              </w:rPr>
            </w:pPr>
          </w:p>
          <w:p w:rsidR="00436F81" w:rsidRPr="00A67A74" w:rsidRDefault="00436F81" w:rsidP="00F533B3">
            <w:pPr>
              <w:rPr>
                <w:b/>
                <w:lang w:val="en-GB"/>
              </w:rPr>
            </w:pPr>
          </w:p>
        </w:tc>
      </w:tr>
      <w:tr w:rsidR="00EF2363" w:rsidRPr="001A6245" w:rsidTr="00EF2363">
        <w:tc>
          <w:tcPr>
            <w:tcW w:w="704" w:type="dxa"/>
          </w:tcPr>
          <w:p w:rsidR="00EF2363" w:rsidRPr="00A67A74" w:rsidRDefault="00EF2363" w:rsidP="00F533B3">
            <w:pPr>
              <w:rPr>
                <w:b/>
                <w:lang w:val="en-GB"/>
              </w:rPr>
            </w:pPr>
            <w:r w:rsidRPr="00A67A74">
              <w:rPr>
                <w:b/>
                <w:lang w:val="en-GB"/>
              </w:rPr>
              <w:t xml:space="preserve">10. </w:t>
            </w:r>
          </w:p>
        </w:tc>
        <w:tc>
          <w:tcPr>
            <w:tcW w:w="8358" w:type="dxa"/>
          </w:tcPr>
          <w:p w:rsidR="00EF2363" w:rsidRPr="00A67A74" w:rsidRDefault="00436F81" w:rsidP="00436F81">
            <w:pPr>
              <w:rPr>
                <w:b/>
                <w:lang w:val="en-GB"/>
              </w:rPr>
            </w:pPr>
            <w:r w:rsidRPr="00A67A74">
              <w:rPr>
                <w:b/>
                <w:lang w:val="en-GB"/>
              </w:rPr>
              <w:t>if the insurance undertaking is to cover risks in class 10 in Part A of Annex I to the Solvency II Directive, not including carrier’s liability, a declaration that the undertaking has become a member of the national bureau and the national guarantee fund of the Host Member State (3.1.1.1 f))</w:t>
            </w:r>
          </w:p>
        </w:tc>
      </w:tr>
      <w:tr w:rsidR="00EF2363" w:rsidRPr="001A6245" w:rsidTr="00EF2363">
        <w:tc>
          <w:tcPr>
            <w:tcW w:w="704" w:type="dxa"/>
          </w:tcPr>
          <w:p w:rsidR="00EF2363" w:rsidRPr="00A67A74" w:rsidRDefault="00EF2363" w:rsidP="00F533B3">
            <w:pPr>
              <w:rPr>
                <w:b/>
                <w:lang w:val="en-GB"/>
              </w:rPr>
            </w:pPr>
          </w:p>
        </w:tc>
        <w:tc>
          <w:tcPr>
            <w:tcW w:w="8358" w:type="dxa"/>
          </w:tcPr>
          <w:p w:rsidR="00EF2363" w:rsidRPr="00A67A74" w:rsidRDefault="00EF2363" w:rsidP="00F533B3">
            <w:pPr>
              <w:rPr>
                <w:b/>
                <w:lang w:val="en-GB"/>
              </w:rPr>
            </w:pPr>
          </w:p>
          <w:p w:rsidR="00436F81" w:rsidRPr="00A67A74" w:rsidRDefault="00436F81" w:rsidP="00F533B3">
            <w:pPr>
              <w:rPr>
                <w:b/>
                <w:lang w:val="en-GB"/>
              </w:rPr>
            </w:pPr>
          </w:p>
          <w:p w:rsidR="00436F81" w:rsidRPr="00A67A74" w:rsidRDefault="00436F81" w:rsidP="00F533B3">
            <w:pPr>
              <w:rPr>
                <w:b/>
                <w:lang w:val="en-GB"/>
              </w:rPr>
            </w:pPr>
          </w:p>
          <w:p w:rsidR="00436F81" w:rsidRPr="00A67A74" w:rsidRDefault="00436F81" w:rsidP="00F533B3">
            <w:pPr>
              <w:rPr>
                <w:b/>
                <w:lang w:val="en-GB"/>
              </w:rPr>
            </w:pPr>
          </w:p>
        </w:tc>
      </w:tr>
      <w:tr w:rsidR="00436F81" w:rsidRPr="001A6245" w:rsidTr="00EF2363">
        <w:tc>
          <w:tcPr>
            <w:tcW w:w="704" w:type="dxa"/>
          </w:tcPr>
          <w:p w:rsidR="00436F81" w:rsidRPr="00A67A74" w:rsidRDefault="00436F81" w:rsidP="00F533B3">
            <w:pPr>
              <w:rPr>
                <w:b/>
                <w:lang w:val="en-GB"/>
              </w:rPr>
            </w:pPr>
            <w:r w:rsidRPr="00A67A74">
              <w:rPr>
                <w:b/>
                <w:lang w:val="en-GB"/>
              </w:rPr>
              <w:t xml:space="preserve">11. </w:t>
            </w:r>
          </w:p>
        </w:tc>
        <w:tc>
          <w:tcPr>
            <w:tcW w:w="8358" w:type="dxa"/>
          </w:tcPr>
          <w:p w:rsidR="00436F81" w:rsidRPr="00A67A74" w:rsidRDefault="00A67A74" w:rsidP="00F533B3">
            <w:pPr>
              <w:rPr>
                <w:b/>
                <w:lang w:val="en-GB"/>
              </w:rPr>
            </w:pPr>
            <w:r w:rsidRPr="00A67A74">
              <w:rPr>
                <w:b/>
                <w:lang w:val="en-GB"/>
              </w:rPr>
              <w:t>in cases where the insurance undertaking intends to cover risks relating to legal expenses insurance, the option chosen from those described in Article 200 of the Solvency II Directive (3.1.1.1. g))</w:t>
            </w:r>
          </w:p>
        </w:tc>
      </w:tr>
      <w:tr w:rsidR="00436F81" w:rsidRPr="00A67A74" w:rsidTr="00EF2363">
        <w:tc>
          <w:tcPr>
            <w:tcW w:w="704" w:type="dxa"/>
          </w:tcPr>
          <w:p w:rsidR="00436F81" w:rsidRPr="00A67A74" w:rsidRDefault="00436F81" w:rsidP="00F533B3">
            <w:pPr>
              <w:rPr>
                <w:b/>
                <w:lang w:val="en-GB"/>
              </w:rPr>
            </w:pPr>
          </w:p>
        </w:tc>
        <w:tc>
          <w:tcPr>
            <w:tcW w:w="8358" w:type="dxa"/>
          </w:tcPr>
          <w:p w:rsidR="00436F81" w:rsidRPr="00A67A74" w:rsidRDefault="00436F81" w:rsidP="00F533B3">
            <w:pPr>
              <w:rPr>
                <w:b/>
                <w:lang w:val="en-GB"/>
              </w:rPr>
            </w:pPr>
          </w:p>
          <w:p w:rsidR="00436F81" w:rsidRPr="00A67A74" w:rsidRDefault="00A67A74" w:rsidP="00F533B3">
            <w:pPr>
              <w:rPr>
                <w:b/>
                <w:lang w:val="en-GB"/>
              </w:rPr>
            </w:pPr>
            <w:r w:rsidRPr="00A67A74">
              <w:rPr>
                <w:lang w:val="en-GB"/>
              </w:rPr>
              <w:t>Undertakings whose registered head office is in Germany have to entrust the management of claims in respect of legal expenses insurance to an undertaking having separate legal personality (art. 200 para. 3 of the Solvency II Directive).</w:t>
            </w:r>
          </w:p>
          <w:p w:rsidR="00436F81" w:rsidRPr="00A67A74" w:rsidRDefault="00436F81" w:rsidP="00F533B3">
            <w:pPr>
              <w:rPr>
                <w:b/>
                <w:lang w:val="en-GB"/>
              </w:rPr>
            </w:pPr>
          </w:p>
        </w:tc>
      </w:tr>
      <w:tr w:rsidR="00436F81" w:rsidRPr="001A6245" w:rsidTr="00EF2363">
        <w:tc>
          <w:tcPr>
            <w:tcW w:w="704" w:type="dxa"/>
          </w:tcPr>
          <w:p w:rsidR="00436F81" w:rsidRPr="00A67A74" w:rsidRDefault="00436F81" w:rsidP="00F533B3">
            <w:pPr>
              <w:rPr>
                <w:b/>
                <w:lang w:val="en-GB"/>
              </w:rPr>
            </w:pPr>
            <w:r w:rsidRPr="00A67A74">
              <w:rPr>
                <w:b/>
                <w:lang w:val="en-GB"/>
              </w:rPr>
              <w:t xml:space="preserve">12. </w:t>
            </w:r>
          </w:p>
        </w:tc>
        <w:tc>
          <w:tcPr>
            <w:tcW w:w="8358" w:type="dxa"/>
          </w:tcPr>
          <w:p w:rsidR="00436F81" w:rsidRPr="00A67A74" w:rsidRDefault="00D94C14" w:rsidP="009D0AF7">
            <w:pPr>
              <w:rPr>
                <w:b/>
                <w:lang w:val="en-GB"/>
              </w:rPr>
            </w:pPr>
            <w:r w:rsidRPr="00D94C14">
              <w:rPr>
                <w:b/>
                <w:lang w:val="en-GB"/>
              </w:rPr>
              <w:t xml:space="preserve">a certificate attesting that the insurance undertaking covers the SCR and MCR as calculated in accordance with Articles 100 to 129 of the Solvency II Directive </w:t>
            </w:r>
            <w:r>
              <w:rPr>
                <w:b/>
                <w:lang w:val="en-GB"/>
              </w:rPr>
              <w:t>(3.1.1.1 h))</w:t>
            </w:r>
          </w:p>
        </w:tc>
      </w:tr>
      <w:tr w:rsidR="00436F81" w:rsidRPr="00A67A74" w:rsidTr="00EF2363">
        <w:tc>
          <w:tcPr>
            <w:tcW w:w="704" w:type="dxa"/>
          </w:tcPr>
          <w:p w:rsidR="00436F81" w:rsidRPr="00A67A74" w:rsidRDefault="00436F81" w:rsidP="00F533B3">
            <w:pPr>
              <w:rPr>
                <w:b/>
                <w:lang w:val="en-GB"/>
              </w:rPr>
            </w:pPr>
          </w:p>
        </w:tc>
        <w:tc>
          <w:tcPr>
            <w:tcW w:w="8358" w:type="dxa"/>
          </w:tcPr>
          <w:p w:rsidR="00436F81" w:rsidRPr="00A67A74" w:rsidRDefault="00436F81" w:rsidP="00F533B3">
            <w:pPr>
              <w:rPr>
                <w:b/>
                <w:lang w:val="en-GB"/>
              </w:rPr>
            </w:pPr>
          </w:p>
          <w:p w:rsidR="00436F81" w:rsidRPr="00D94C14" w:rsidRDefault="00627305" w:rsidP="00F533B3">
            <w:pPr>
              <w:rPr>
                <w:lang w:val="en-GB"/>
              </w:rPr>
            </w:pPr>
            <w:r>
              <w:rPr>
                <w:lang w:val="en-GB"/>
              </w:rPr>
              <w:t>i</w:t>
            </w:r>
            <w:r w:rsidR="00D94C14" w:rsidRPr="00D94C14">
              <w:rPr>
                <w:lang w:val="en-GB"/>
              </w:rPr>
              <w:t>ssued by BaFin</w:t>
            </w:r>
          </w:p>
          <w:p w:rsidR="00436F81" w:rsidRPr="00A67A74" w:rsidRDefault="00436F81" w:rsidP="00F533B3">
            <w:pPr>
              <w:rPr>
                <w:b/>
                <w:lang w:val="en-GB"/>
              </w:rPr>
            </w:pPr>
          </w:p>
          <w:p w:rsidR="00436F81" w:rsidRPr="00A67A74" w:rsidRDefault="00436F81" w:rsidP="00F533B3">
            <w:pPr>
              <w:rPr>
                <w:b/>
                <w:lang w:val="en-GB"/>
              </w:rPr>
            </w:pPr>
          </w:p>
        </w:tc>
      </w:tr>
    </w:tbl>
    <w:p w:rsidR="00906A03" w:rsidRDefault="00906A03">
      <w:r>
        <w:br w:type="page"/>
      </w:r>
    </w:p>
    <w:tbl>
      <w:tblPr>
        <w:tblStyle w:val="Tabellenraster"/>
        <w:tblW w:w="0" w:type="auto"/>
        <w:tblLook w:val="04A0" w:firstRow="1" w:lastRow="0" w:firstColumn="1" w:lastColumn="0" w:noHBand="0" w:noVBand="1"/>
      </w:tblPr>
      <w:tblGrid>
        <w:gridCol w:w="704"/>
        <w:gridCol w:w="8358"/>
      </w:tblGrid>
      <w:tr w:rsidR="00436F81" w:rsidRPr="001A6245" w:rsidTr="00EF2363">
        <w:tc>
          <w:tcPr>
            <w:tcW w:w="704" w:type="dxa"/>
          </w:tcPr>
          <w:p w:rsidR="00436F81" w:rsidRPr="00A67A74" w:rsidRDefault="00436F81" w:rsidP="00F533B3">
            <w:pPr>
              <w:rPr>
                <w:b/>
                <w:lang w:val="en-GB"/>
              </w:rPr>
            </w:pPr>
            <w:r w:rsidRPr="00A67A74">
              <w:rPr>
                <w:b/>
                <w:lang w:val="en-GB"/>
              </w:rPr>
              <w:lastRenderedPageBreak/>
              <w:t xml:space="preserve">13. </w:t>
            </w:r>
          </w:p>
        </w:tc>
        <w:tc>
          <w:tcPr>
            <w:tcW w:w="8358" w:type="dxa"/>
          </w:tcPr>
          <w:p w:rsidR="00436F81" w:rsidRPr="00C72A0A" w:rsidRDefault="00D94C14" w:rsidP="00F533B3">
            <w:pPr>
              <w:rPr>
                <w:b/>
                <w:lang w:val="en-GB"/>
              </w:rPr>
            </w:pPr>
            <w:r w:rsidRPr="00C72A0A">
              <w:rPr>
                <w:b/>
                <w:lang w:val="en-GB"/>
              </w:rPr>
              <w:t>the legal entity identifier (LEI) of the undertaking notifying the intention to establish a branch (or if not available, the identification code used in the local market allocated by the</w:t>
            </w:r>
            <w:bookmarkStart w:id="0" w:name="_GoBack"/>
            <w:bookmarkEnd w:id="0"/>
            <w:r w:rsidRPr="00C72A0A">
              <w:rPr>
                <w:b/>
                <w:lang w:val="en-GB"/>
              </w:rPr>
              <w:t xml:space="preserve"> Supervisory Authority) (3.1.1.2 a))</w:t>
            </w:r>
          </w:p>
        </w:tc>
      </w:tr>
      <w:tr w:rsidR="00436F81" w:rsidRPr="001A6245" w:rsidTr="00EF2363">
        <w:tc>
          <w:tcPr>
            <w:tcW w:w="704" w:type="dxa"/>
          </w:tcPr>
          <w:p w:rsidR="00436F81" w:rsidRPr="00A67A74" w:rsidRDefault="00436F81" w:rsidP="00F533B3">
            <w:pPr>
              <w:rPr>
                <w:b/>
                <w:lang w:val="en-GB"/>
              </w:rPr>
            </w:pPr>
          </w:p>
        </w:tc>
        <w:tc>
          <w:tcPr>
            <w:tcW w:w="8358" w:type="dxa"/>
          </w:tcPr>
          <w:p w:rsidR="00436F81" w:rsidRPr="00C72A0A" w:rsidRDefault="00436F81" w:rsidP="00F533B3">
            <w:pPr>
              <w:rPr>
                <w:b/>
                <w:lang w:val="en-GB"/>
              </w:rPr>
            </w:pPr>
          </w:p>
          <w:p w:rsidR="00436F81" w:rsidRPr="00C72A0A" w:rsidRDefault="00436F81" w:rsidP="00F533B3">
            <w:pPr>
              <w:rPr>
                <w:b/>
                <w:lang w:val="en-GB"/>
              </w:rPr>
            </w:pPr>
          </w:p>
          <w:p w:rsidR="00436F81" w:rsidRPr="00C72A0A" w:rsidRDefault="00436F81" w:rsidP="00F533B3">
            <w:pPr>
              <w:rPr>
                <w:b/>
                <w:lang w:val="en-GB"/>
              </w:rPr>
            </w:pPr>
          </w:p>
          <w:p w:rsidR="00436F81" w:rsidRPr="00C72A0A" w:rsidRDefault="00436F81" w:rsidP="00F533B3">
            <w:pPr>
              <w:rPr>
                <w:b/>
                <w:lang w:val="en-GB"/>
              </w:rPr>
            </w:pPr>
          </w:p>
        </w:tc>
      </w:tr>
      <w:tr w:rsidR="00436F81" w:rsidRPr="001A6245" w:rsidTr="00EF2363">
        <w:tc>
          <w:tcPr>
            <w:tcW w:w="704" w:type="dxa"/>
          </w:tcPr>
          <w:p w:rsidR="00436F81" w:rsidRPr="00A67A74" w:rsidRDefault="00436F81" w:rsidP="00F533B3">
            <w:pPr>
              <w:rPr>
                <w:b/>
                <w:lang w:val="en-GB"/>
              </w:rPr>
            </w:pPr>
            <w:r w:rsidRPr="00A67A74">
              <w:rPr>
                <w:b/>
                <w:lang w:val="en-GB"/>
              </w:rPr>
              <w:t xml:space="preserve">14. </w:t>
            </w:r>
          </w:p>
        </w:tc>
        <w:tc>
          <w:tcPr>
            <w:tcW w:w="8358" w:type="dxa"/>
          </w:tcPr>
          <w:p w:rsidR="00436F81" w:rsidRPr="00C72A0A" w:rsidRDefault="00632F57" w:rsidP="00FD3FE4">
            <w:pPr>
              <w:rPr>
                <w:b/>
                <w:lang w:val="en-GB"/>
              </w:rPr>
            </w:pPr>
            <w:r>
              <w:rPr>
                <w:b/>
                <w:lang w:val="en-GB"/>
              </w:rPr>
              <w:t xml:space="preserve">If available, </w:t>
            </w:r>
            <w:r w:rsidR="00D94C14" w:rsidRPr="00C72A0A">
              <w:rPr>
                <w:b/>
                <w:lang w:val="en-GB"/>
              </w:rPr>
              <w:t>identification of the person(s) who effectively run the branch or are responsible for key functions for the branch</w:t>
            </w:r>
            <w:r>
              <w:rPr>
                <w:b/>
                <w:lang w:val="en-GB"/>
              </w:rPr>
              <w:t xml:space="preserve"> </w:t>
            </w:r>
            <w:r w:rsidRPr="00632F57">
              <w:rPr>
                <w:b/>
                <w:lang w:val="en-GB"/>
              </w:rPr>
              <w:t>(persons responsible for the activities of the branch within the undertaking (Home Member State))</w:t>
            </w:r>
            <w:r>
              <w:rPr>
                <w:b/>
                <w:lang w:val="en-GB"/>
              </w:rPr>
              <w:t>, through for example the person(s) ID card, passport, or nomination document(s) and if so required by the host Member State legislation, her address of residence in the host Member State</w:t>
            </w:r>
            <w:r w:rsidR="00D94C14" w:rsidRPr="00C72A0A">
              <w:rPr>
                <w:b/>
                <w:lang w:val="en-GB"/>
              </w:rPr>
              <w:t xml:space="preserve"> (3.1.1.2 b)</w:t>
            </w:r>
          </w:p>
        </w:tc>
      </w:tr>
      <w:tr w:rsidR="00436F81" w:rsidRPr="001A6245" w:rsidTr="00EF2363">
        <w:tc>
          <w:tcPr>
            <w:tcW w:w="704" w:type="dxa"/>
          </w:tcPr>
          <w:p w:rsidR="00436F81" w:rsidRPr="00A67A74" w:rsidRDefault="00436F81" w:rsidP="00F533B3">
            <w:pPr>
              <w:rPr>
                <w:b/>
                <w:lang w:val="en-GB"/>
              </w:rPr>
            </w:pPr>
          </w:p>
        </w:tc>
        <w:tc>
          <w:tcPr>
            <w:tcW w:w="8358" w:type="dxa"/>
          </w:tcPr>
          <w:p w:rsidR="00436F81" w:rsidRPr="00C72A0A" w:rsidRDefault="00436F81" w:rsidP="00F533B3">
            <w:pPr>
              <w:rPr>
                <w:b/>
                <w:lang w:val="en-GB"/>
              </w:rPr>
            </w:pPr>
          </w:p>
          <w:p w:rsidR="00436F81" w:rsidRPr="00C72A0A" w:rsidRDefault="00436F81" w:rsidP="00F533B3">
            <w:pPr>
              <w:rPr>
                <w:b/>
                <w:lang w:val="en-GB"/>
              </w:rPr>
            </w:pPr>
          </w:p>
          <w:p w:rsidR="00436F81" w:rsidRPr="00C72A0A" w:rsidRDefault="00436F81" w:rsidP="00F533B3">
            <w:pPr>
              <w:rPr>
                <w:b/>
                <w:lang w:val="en-GB"/>
              </w:rPr>
            </w:pPr>
          </w:p>
          <w:p w:rsidR="00436F81" w:rsidRPr="00C72A0A" w:rsidRDefault="00436F81" w:rsidP="00F533B3">
            <w:pPr>
              <w:rPr>
                <w:b/>
                <w:lang w:val="en-GB"/>
              </w:rPr>
            </w:pPr>
          </w:p>
        </w:tc>
      </w:tr>
      <w:tr w:rsidR="00436F81" w:rsidRPr="001A6245" w:rsidTr="00EF2363">
        <w:tc>
          <w:tcPr>
            <w:tcW w:w="704" w:type="dxa"/>
          </w:tcPr>
          <w:p w:rsidR="00436F81" w:rsidRPr="00A67A74" w:rsidRDefault="00436F81" w:rsidP="00F533B3">
            <w:pPr>
              <w:rPr>
                <w:b/>
                <w:lang w:val="en-GB"/>
              </w:rPr>
            </w:pPr>
            <w:r w:rsidRPr="00A67A74">
              <w:rPr>
                <w:b/>
                <w:lang w:val="en-GB"/>
              </w:rPr>
              <w:t xml:space="preserve">15. </w:t>
            </w:r>
          </w:p>
        </w:tc>
        <w:tc>
          <w:tcPr>
            <w:tcW w:w="8358" w:type="dxa"/>
          </w:tcPr>
          <w:p w:rsidR="00436F81" w:rsidRPr="00C72A0A" w:rsidRDefault="00D94C14" w:rsidP="003B3B0E">
            <w:pPr>
              <w:rPr>
                <w:b/>
                <w:lang w:val="en-GB"/>
              </w:rPr>
            </w:pPr>
            <w:r w:rsidRPr="00C72A0A">
              <w:rPr>
                <w:b/>
                <w:lang w:val="en-GB"/>
              </w:rPr>
              <w:t>if the undertaking belongs to a cross-border group, the name of the group supervisor and the structure of the group, together with the last group solvency position (3.1.1.2 c))</w:t>
            </w:r>
          </w:p>
        </w:tc>
      </w:tr>
      <w:tr w:rsidR="00436F81" w:rsidRPr="001A6245" w:rsidTr="00EF2363">
        <w:tc>
          <w:tcPr>
            <w:tcW w:w="704" w:type="dxa"/>
          </w:tcPr>
          <w:p w:rsidR="00436F81" w:rsidRPr="00A67A74" w:rsidRDefault="00436F81" w:rsidP="00F533B3">
            <w:pPr>
              <w:rPr>
                <w:b/>
                <w:lang w:val="en-GB"/>
              </w:rPr>
            </w:pPr>
          </w:p>
        </w:tc>
        <w:tc>
          <w:tcPr>
            <w:tcW w:w="8358" w:type="dxa"/>
          </w:tcPr>
          <w:p w:rsidR="00436F81" w:rsidRPr="00C72A0A" w:rsidRDefault="00436F81" w:rsidP="00F533B3">
            <w:pPr>
              <w:rPr>
                <w:b/>
                <w:lang w:val="en-GB"/>
              </w:rPr>
            </w:pPr>
          </w:p>
          <w:p w:rsidR="00436F81" w:rsidRPr="00C72A0A" w:rsidRDefault="00436F81" w:rsidP="00F533B3">
            <w:pPr>
              <w:rPr>
                <w:b/>
                <w:lang w:val="en-GB"/>
              </w:rPr>
            </w:pPr>
          </w:p>
          <w:p w:rsidR="00436F81" w:rsidRPr="00C72A0A" w:rsidRDefault="00436F81" w:rsidP="00F533B3">
            <w:pPr>
              <w:rPr>
                <w:b/>
                <w:lang w:val="en-GB"/>
              </w:rPr>
            </w:pPr>
          </w:p>
          <w:p w:rsidR="00436F81" w:rsidRPr="00C72A0A" w:rsidRDefault="00436F81" w:rsidP="00F533B3">
            <w:pPr>
              <w:rPr>
                <w:b/>
                <w:lang w:val="en-GB"/>
              </w:rPr>
            </w:pPr>
          </w:p>
        </w:tc>
      </w:tr>
      <w:tr w:rsidR="00436F81" w:rsidRPr="001A6245" w:rsidTr="00EF2363">
        <w:tc>
          <w:tcPr>
            <w:tcW w:w="704" w:type="dxa"/>
          </w:tcPr>
          <w:p w:rsidR="00436F81" w:rsidRPr="00A67A74" w:rsidRDefault="00436F81" w:rsidP="00F533B3">
            <w:pPr>
              <w:rPr>
                <w:b/>
                <w:lang w:val="en-GB"/>
              </w:rPr>
            </w:pPr>
            <w:r w:rsidRPr="00A67A74">
              <w:rPr>
                <w:b/>
                <w:lang w:val="en-GB"/>
              </w:rPr>
              <w:t xml:space="preserve">16. </w:t>
            </w:r>
          </w:p>
        </w:tc>
        <w:tc>
          <w:tcPr>
            <w:tcW w:w="8358" w:type="dxa"/>
          </w:tcPr>
          <w:p w:rsidR="00436F81" w:rsidRPr="00C72A0A" w:rsidRDefault="00D94C14" w:rsidP="00F533B3">
            <w:pPr>
              <w:rPr>
                <w:b/>
                <w:lang w:val="en-GB"/>
              </w:rPr>
            </w:pPr>
            <w:r w:rsidRPr="00C72A0A">
              <w:rPr>
                <w:b/>
                <w:lang w:val="en-GB"/>
              </w:rPr>
              <w:t>any available information regarding the planned distribution channel(s), relevant outsourcing contracts and partners that will be used in the Host Member State (3.1.1.2 d))</w:t>
            </w:r>
          </w:p>
        </w:tc>
      </w:tr>
      <w:tr w:rsidR="00436F81" w:rsidRPr="001A6245" w:rsidTr="00EF2363">
        <w:tc>
          <w:tcPr>
            <w:tcW w:w="704" w:type="dxa"/>
          </w:tcPr>
          <w:p w:rsidR="00436F81" w:rsidRPr="00A67A74" w:rsidRDefault="00436F81" w:rsidP="00F533B3">
            <w:pPr>
              <w:rPr>
                <w:b/>
                <w:lang w:val="en-GB"/>
              </w:rPr>
            </w:pPr>
          </w:p>
        </w:tc>
        <w:tc>
          <w:tcPr>
            <w:tcW w:w="8358" w:type="dxa"/>
          </w:tcPr>
          <w:p w:rsidR="00436F81" w:rsidRPr="00C72A0A" w:rsidRDefault="00436F81" w:rsidP="00F533B3">
            <w:pPr>
              <w:rPr>
                <w:b/>
                <w:lang w:val="en-GB"/>
              </w:rPr>
            </w:pPr>
          </w:p>
          <w:p w:rsidR="00436F81" w:rsidRPr="00C72A0A" w:rsidRDefault="00436F81" w:rsidP="00F533B3">
            <w:pPr>
              <w:rPr>
                <w:b/>
                <w:lang w:val="en-GB"/>
              </w:rPr>
            </w:pPr>
          </w:p>
          <w:p w:rsidR="00436F81" w:rsidRPr="00C72A0A" w:rsidRDefault="00436F81" w:rsidP="00F533B3">
            <w:pPr>
              <w:rPr>
                <w:b/>
                <w:lang w:val="en-GB"/>
              </w:rPr>
            </w:pPr>
          </w:p>
          <w:p w:rsidR="00436F81" w:rsidRPr="00C72A0A" w:rsidRDefault="00436F81" w:rsidP="00F533B3">
            <w:pPr>
              <w:rPr>
                <w:b/>
                <w:lang w:val="en-GB"/>
              </w:rPr>
            </w:pPr>
          </w:p>
        </w:tc>
      </w:tr>
      <w:tr w:rsidR="00FD3FE4" w:rsidRPr="001A6245" w:rsidTr="00EF2363">
        <w:tc>
          <w:tcPr>
            <w:tcW w:w="704" w:type="dxa"/>
          </w:tcPr>
          <w:p w:rsidR="00FD3FE4" w:rsidRPr="00A67A74" w:rsidRDefault="00FD3FE4" w:rsidP="00F533B3">
            <w:pPr>
              <w:rPr>
                <w:b/>
                <w:lang w:val="en-GB"/>
              </w:rPr>
            </w:pPr>
            <w:r>
              <w:rPr>
                <w:b/>
                <w:lang w:val="en-GB"/>
              </w:rPr>
              <w:t>17.</w:t>
            </w:r>
          </w:p>
        </w:tc>
        <w:tc>
          <w:tcPr>
            <w:tcW w:w="8358" w:type="dxa"/>
          </w:tcPr>
          <w:p w:rsidR="00FD3FE4" w:rsidRPr="00C72A0A" w:rsidRDefault="00FD3FE4" w:rsidP="00F533B3">
            <w:pPr>
              <w:rPr>
                <w:b/>
                <w:lang w:val="en-GB"/>
              </w:rPr>
            </w:pPr>
            <w:r>
              <w:rPr>
                <w:b/>
                <w:lang w:val="en-GB"/>
              </w:rPr>
              <w:t>if available the results of the assessment of the undertaking’s compliance with the product oversight and governance requirements (e.g. material findings regarding design of the product, monitoring of distributors, target market identification und product testing) (3.1.1.2 e))</w:t>
            </w:r>
          </w:p>
        </w:tc>
      </w:tr>
      <w:tr w:rsidR="00FD3FE4" w:rsidRPr="001A6245" w:rsidTr="00EF2363">
        <w:tc>
          <w:tcPr>
            <w:tcW w:w="704" w:type="dxa"/>
          </w:tcPr>
          <w:p w:rsidR="00FD3FE4" w:rsidRPr="00A67A74" w:rsidRDefault="00FD3FE4" w:rsidP="00F533B3">
            <w:pPr>
              <w:rPr>
                <w:b/>
                <w:lang w:val="en-GB"/>
              </w:rPr>
            </w:pPr>
          </w:p>
        </w:tc>
        <w:tc>
          <w:tcPr>
            <w:tcW w:w="8358" w:type="dxa"/>
          </w:tcPr>
          <w:p w:rsidR="00FD3FE4" w:rsidRDefault="00FD3FE4" w:rsidP="00F533B3">
            <w:pPr>
              <w:rPr>
                <w:b/>
                <w:lang w:val="en-GB"/>
              </w:rPr>
            </w:pPr>
          </w:p>
          <w:p w:rsidR="00FD3FE4" w:rsidRDefault="00FD3FE4" w:rsidP="00F533B3">
            <w:pPr>
              <w:rPr>
                <w:b/>
                <w:lang w:val="en-GB"/>
              </w:rPr>
            </w:pPr>
          </w:p>
          <w:p w:rsidR="00FD3FE4" w:rsidRDefault="00FD3FE4" w:rsidP="00F533B3">
            <w:pPr>
              <w:rPr>
                <w:b/>
                <w:lang w:val="en-GB"/>
              </w:rPr>
            </w:pPr>
          </w:p>
          <w:p w:rsidR="00FD3FE4" w:rsidRPr="00C72A0A" w:rsidRDefault="00FD3FE4" w:rsidP="00F533B3">
            <w:pPr>
              <w:rPr>
                <w:b/>
                <w:lang w:val="en-GB"/>
              </w:rPr>
            </w:pPr>
          </w:p>
        </w:tc>
      </w:tr>
      <w:tr w:rsidR="00436F81" w:rsidRPr="001A6245" w:rsidTr="00EF2363">
        <w:tc>
          <w:tcPr>
            <w:tcW w:w="704" w:type="dxa"/>
          </w:tcPr>
          <w:p w:rsidR="00436F81" w:rsidRPr="00A67A74" w:rsidRDefault="00436F81" w:rsidP="00F533B3">
            <w:pPr>
              <w:rPr>
                <w:b/>
                <w:lang w:val="en-GB"/>
              </w:rPr>
            </w:pPr>
            <w:r w:rsidRPr="00A67A74">
              <w:rPr>
                <w:b/>
                <w:lang w:val="en-GB"/>
              </w:rPr>
              <w:t>1</w:t>
            </w:r>
            <w:r w:rsidR="00B3170F">
              <w:rPr>
                <w:b/>
                <w:lang w:val="en-GB"/>
              </w:rPr>
              <w:t>8</w:t>
            </w:r>
            <w:r w:rsidRPr="00A67A74">
              <w:rPr>
                <w:b/>
                <w:lang w:val="en-GB"/>
              </w:rPr>
              <w:t xml:space="preserve">. </w:t>
            </w:r>
          </w:p>
        </w:tc>
        <w:tc>
          <w:tcPr>
            <w:tcW w:w="8358" w:type="dxa"/>
          </w:tcPr>
          <w:p w:rsidR="00436F81" w:rsidRPr="00C72A0A" w:rsidRDefault="00D94C14" w:rsidP="00F533B3">
            <w:pPr>
              <w:rPr>
                <w:b/>
                <w:lang w:val="en-GB"/>
              </w:rPr>
            </w:pPr>
            <w:r w:rsidRPr="00C72A0A">
              <w:rPr>
                <w:b/>
                <w:lang w:val="en-GB"/>
              </w:rPr>
              <w:t xml:space="preserve">a description of the relevant policyholder guarantee funds in the Home Member State, where applicable (3.1.1.2 </w:t>
            </w:r>
            <w:r w:rsidR="003837E0">
              <w:rPr>
                <w:b/>
                <w:lang w:val="en-GB"/>
              </w:rPr>
              <w:t>f</w:t>
            </w:r>
            <w:r w:rsidRPr="00C72A0A">
              <w:rPr>
                <w:b/>
                <w:lang w:val="en-GB"/>
              </w:rPr>
              <w:t>))</w:t>
            </w:r>
          </w:p>
        </w:tc>
      </w:tr>
      <w:tr w:rsidR="00436F81" w:rsidRPr="001A6245" w:rsidTr="00EF2363">
        <w:tc>
          <w:tcPr>
            <w:tcW w:w="704" w:type="dxa"/>
          </w:tcPr>
          <w:p w:rsidR="00436F81" w:rsidRPr="00A67A74" w:rsidRDefault="00436F81" w:rsidP="00F533B3">
            <w:pPr>
              <w:rPr>
                <w:b/>
                <w:lang w:val="en-GB"/>
              </w:rPr>
            </w:pPr>
          </w:p>
        </w:tc>
        <w:tc>
          <w:tcPr>
            <w:tcW w:w="8358" w:type="dxa"/>
          </w:tcPr>
          <w:p w:rsidR="00436F81" w:rsidRPr="00C72A0A" w:rsidRDefault="00436F81" w:rsidP="00F533B3">
            <w:pPr>
              <w:rPr>
                <w:b/>
                <w:lang w:val="en-GB"/>
              </w:rPr>
            </w:pPr>
          </w:p>
          <w:p w:rsidR="00436F81" w:rsidRPr="00C72A0A" w:rsidRDefault="00436F81" w:rsidP="00F533B3">
            <w:pPr>
              <w:rPr>
                <w:b/>
                <w:lang w:val="en-GB"/>
              </w:rPr>
            </w:pPr>
          </w:p>
          <w:p w:rsidR="00436F81" w:rsidRPr="00C72A0A" w:rsidRDefault="00436F81" w:rsidP="00F533B3">
            <w:pPr>
              <w:rPr>
                <w:b/>
                <w:lang w:val="en-GB"/>
              </w:rPr>
            </w:pPr>
          </w:p>
          <w:p w:rsidR="00436F81" w:rsidRPr="00C72A0A" w:rsidRDefault="00436F81" w:rsidP="00F533B3">
            <w:pPr>
              <w:rPr>
                <w:b/>
                <w:lang w:val="en-GB"/>
              </w:rPr>
            </w:pPr>
          </w:p>
        </w:tc>
      </w:tr>
      <w:tr w:rsidR="00D94C14" w:rsidRPr="001A6245" w:rsidTr="00EF2363">
        <w:tc>
          <w:tcPr>
            <w:tcW w:w="704" w:type="dxa"/>
          </w:tcPr>
          <w:p w:rsidR="00D94C14" w:rsidRPr="00A67A74" w:rsidRDefault="00D94C14" w:rsidP="00F533B3">
            <w:pPr>
              <w:rPr>
                <w:b/>
                <w:lang w:val="en-GB"/>
              </w:rPr>
            </w:pPr>
            <w:r>
              <w:rPr>
                <w:b/>
                <w:lang w:val="en-GB"/>
              </w:rPr>
              <w:t>1</w:t>
            </w:r>
            <w:r w:rsidR="00B3170F">
              <w:rPr>
                <w:b/>
                <w:lang w:val="en-GB"/>
              </w:rPr>
              <w:t>9</w:t>
            </w:r>
            <w:r w:rsidR="001A6245">
              <w:rPr>
                <w:b/>
                <w:lang w:val="en-GB"/>
              </w:rPr>
              <w:t>.</w:t>
            </w:r>
            <w:r>
              <w:rPr>
                <w:b/>
                <w:lang w:val="en-GB"/>
              </w:rPr>
              <w:t xml:space="preserve"> </w:t>
            </w:r>
          </w:p>
        </w:tc>
        <w:tc>
          <w:tcPr>
            <w:tcW w:w="8358" w:type="dxa"/>
          </w:tcPr>
          <w:p w:rsidR="00D94C14" w:rsidRPr="00C72A0A" w:rsidRDefault="00D94C14" w:rsidP="00F533B3">
            <w:pPr>
              <w:rPr>
                <w:b/>
                <w:lang w:val="en-GB"/>
              </w:rPr>
            </w:pPr>
            <w:r w:rsidRPr="00C72A0A">
              <w:rPr>
                <w:b/>
                <w:lang w:val="en-GB"/>
              </w:rPr>
              <w:t>a summary of the undertaking’s system of governance, including the risk management system in place, which provides for the proper management of the business of the branch (3.1.1.3 a))</w:t>
            </w:r>
          </w:p>
        </w:tc>
      </w:tr>
      <w:tr w:rsidR="00D94C14" w:rsidRPr="001A6245" w:rsidTr="00EF2363">
        <w:tc>
          <w:tcPr>
            <w:tcW w:w="704" w:type="dxa"/>
          </w:tcPr>
          <w:p w:rsidR="00D94C14" w:rsidRPr="00A67A74" w:rsidRDefault="00D94C14" w:rsidP="00F533B3">
            <w:pPr>
              <w:rPr>
                <w:b/>
                <w:lang w:val="en-GB"/>
              </w:rPr>
            </w:pPr>
          </w:p>
        </w:tc>
        <w:tc>
          <w:tcPr>
            <w:tcW w:w="8358" w:type="dxa"/>
          </w:tcPr>
          <w:p w:rsidR="00D94C14" w:rsidRPr="00C72A0A" w:rsidRDefault="00D94C14" w:rsidP="00F533B3">
            <w:pPr>
              <w:rPr>
                <w:b/>
                <w:lang w:val="en-GB"/>
              </w:rPr>
            </w:pPr>
          </w:p>
          <w:p w:rsidR="00D94C14" w:rsidRPr="00C72A0A" w:rsidRDefault="00D94C14" w:rsidP="00F533B3">
            <w:pPr>
              <w:rPr>
                <w:b/>
                <w:lang w:val="en-GB"/>
              </w:rPr>
            </w:pPr>
          </w:p>
          <w:p w:rsidR="00D94C14" w:rsidRPr="00C72A0A" w:rsidRDefault="00D94C14" w:rsidP="00F533B3">
            <w:pPr>
              <w:rPr>
                <w:b/>
                <w:lang w:val="en-GB"/>
              </w:rPr>
            </w:pPr>
          </w:p>
          <w:p w:rsidR="00D94C14" w:rsidRPr="00C72A0A" w:rsidRDefault="00D94C14" w:rsidP="00F533B3">
            <w:pPr>
              <w:rPr>
                <w:b/>
                <w:lang w:val="en-GB"/>
              </w:rPr>
            </w:pPr>
          </w:p>
        </w:tc>
      </w:tr>
      <w:tr w:rsidR="00D94C14" w:rsidRPr="001A6245" w:rsidTr="00EF2363">
        <w:tc>
          <w:tcPr>
            <w:tcW w:w="704" w:type="dxa"/>
          </w:tcPr>
          <w:p w:rsidR="00D94C14" w:rsidRPr="00A67A74" w:rsidRDefault="00B3170F" w:rsidP="00F533B3">
            <w:pPr>
              <w:rPr>
                <w:b/>
                <w:lang w:val="en-GB"/>
              </w:rPr>
            </w:pPr>
            <w:r>
              <w:rPr>
                <w:b/>
                <w:lang w:val="en-GB"/>
              </w:rPr>
              <w:lastRenderedPageBreak/>
              <w:t>20</w:t>
            </w:r>
            <w:r w:rsidR="00D94C14">
              <w:rPr>
                <w:b/>
                <w:lang w:val="en-GB"/>
              </w:rPr>
              <w:t xml:space="preserve">. </w:t>
            </w:r>
          </w:p>
        </w:tc>
        <w:tc>
          <w:tcPr>
            <w:tcW w:w="8358" w:type="dxa"/>
          </w:tcPr>
          <w:p w:rsidR="00D94C14" w:rsidRPr="00C72A0A" w:rsidRDefault="00D94C14" w:rsidP="00D94C14">
            <w:pPr>
              <w:rPr>
                <w:b/>
                <w:lang w:val="en-GB"/>
              </w:rPr>
            </w:pPr>
            <w:r w:rsidRPr="00C72A0A">
              <w:rPr>
                <w:b/>
                <w:lang w:val="en-GB"/>
              </w:rPr>
              <w:t>any available information on the undertaking’s business strategy and how the branch fits into that strategy</w:t>
            </w:r>
            <w:r w:rsidR="001C09C4" w:rsidRPr="00C72A0A">
              <w:rPr>
                <w:b/>
                <w:lang w:val="en-GB"/>
              </w:rPr>
              <w:t xml:space="preserve"> (3.1.1.3 b))</w:t>
            </w:r>
          </w:p>
        </w:tc>
      </w:tr>
      <w:tr w:rsidR="00D94C14" w:rsidRPr="001A6245" w:rsidTr="00EF2363">
        <w:tc>
          <w:tcPr>
            <w:tcW w:w="704" w:type="dxa"/>
          </w:tcPr>
          <w:p w:rsidR="00D94C14" w:rsidRPr="00A67A74" w:rsidRDefault="00D94C14" w:rsidP="00F533B3">
            <w:pPr>
              <w:rPr>
                <w:b/>
                <w:lang w:val="en-GB"/>
              </w:rPr>
            </w:pPr>
          </w:p>
        </w:tc>
        <w:tc>
          <w:tcPr>
            <w:tcW w:w="8358" w:type="dxa"/>
          </w:tcPr>
          <w:p w:rsidR="00D94C14" w:rsidRPr="00C72A0A" w:rsidRDefault="00D94C14" w:rsidP="00F533B3">
            <w:pPr>
              <w:rPr>
                <w:b/>
                <w:lang w:val="en-GB"/>
              </w:rPr>
            </w:pPr>
          </w:p>
          <w:p w:rsidR="00D94C14" w:rsidRPr="00C72A0A" w:rsidRDefault="00D94C14" w:rsidP="00F533B3">
            <w:pPr>
              <w:rPr>
                <w:b/>
                <w:lang w:val="en-GB"/>
              </w:rPr>
            </w:pPr>
          </w:p>
          <w:p w:rsidR="00D94C14" w:rsidRPr="00C72A0A" w:rsidRDefault="00D94C14" w:rsidP="00F533B3">
            <w:pPr>
              <w:rPr>
                <w:b/>
                <w:lang w:val="en-GB"/>
              </w:rPr>
            </w:pPr>
          </w:p>
          <w:p w:rsidR="00D94C14" w:rsidRPr="00C72A0A" w:rsidRDefault="00D94C14" w:rsidP="00F533B3">
            <w:pPr>
              <w:rPr>
                <w:b/>
                <w:lang w:val="en-GB"/>
              </w:rPr>
            </w:pPr>
          </w:p>
        </w:tc>
      </w:tr>
    </w:tbl>
    <w:p w:rsidR="00F533B3" w:rsidRPr="009D0AF7" w:rsidRDefault="00F533B3" w:rsidP="00F533B3">
      <w:pPr>
        <w:rPr>
          <w:lang w:val="en-GB"/>
        </w:rPr>
      </w:pPr>
    </w:p>
    <w:sectPr w:rsidR="00F533B3" w:rsidRPr="009D0AF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305" w:rsidRDefault="00627305" w:rsidP="00627305">
      <w:pPr>
        <w:spacing w:line="240" w:lineRule="auto"/>
      </w:pPr>
      <w:r>
        <w:separator/>
      </w:r>
    </w:p>
  </w:endnote>
  <w:endnote w:type="continuationSeparator" w:id="0">
    <w:p w:rsidR="00627305" w:rsidRDefault="00627305" w:rsidP="006273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05" w:rsidRDefault="006273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505518"/>
      <w:docPartObj>
        <w:docPartGallery w:val="Page Numbers (Bottom of Page)"/>
        <w:docPartUnique/>
      </w:docPartObj>
    </w:sdtPr>
    <w:sdtEndPr/>
    <w:sdtContent>
      <w:p w:rsidR="00627305" w:rsidRDefault="00627305">
        <w:pPr>
          <w:pStyle w:val="Fuzeile"/>
          <w:jc w:val="center"/>
        </w:pPr>
        <w:r>
          <w:fldChar w:fldCharType="begin"/>
        </w:r>
        <w:r>
          <w:instrText>PAGE   \* MERGEFORMAT</w:instrText>
        </w:r>
        <w:r>
          <w:fldChar w:fldCharType="separate"/>
        </w:r>
        <w:r w:rsidR="006E6BE1">
          <w:rPr>
            <w:noProof/>
          </w:rPr>
          <w:t>4</w:t>
        </w:r>
        <w:r>
          <w:fldChar w:fldCharType="end"/>
        </w:r>
      </w:p>
    </w:sdtContent>
  </w:sdt>
  <w:p w:rsidR="00627305" w:rsidRDefault="0062730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05" w:rsidRDefault="006273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305" w:rsidRDefault="00627305" w:rsidP="00627305">
      <w:pPr>
        <w:spacing w:line="240" w:lineRule="auto"/>
      </w:pPr>
      <w:r>
        <w:separator/>
      </w:r>
    </w:p>
  </w:footnote>
  <w:footnote w:type="continuationSeparator" w:id="0">
    <w:p w:rsidR="00627305" w:rsidRDefault="00627305" w:rsidP="006273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05" w:rsidRDefault="006273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05" w:rsidRDefault="006273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05" w:rsidRDefault="006273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D1DA1"/>
    <w:multiLevelType w:val="hybridMultilevel"/>
    <w:tmpl w:val="D24439A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2AC3233"/>
    <w:multiLevelType w:val="hybridMultilevel"/>
    <w:tmpl w:val="F09A012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93"/>
    <w:rsid w:val="00095CEA"/>
    <w:rsid w:val="001A6245"/>
    <w:rsid w:val="001C09C4"/>
    <w:rsid w:val="003837E0"/>
    <w:rsid w:val="003B3B0E"/>
    <w:rsid w:val="004249C1"/>
    <w:rsid w:val="00436F81"/>
    <w:rsid w:val="004F1750"/>
    <w:rsid w:val="005116ED"/>
    <w:rsid w:val="00514493"/>
    <w:rsid w:val="00531FCE"/>
    <w:rsid w:val="00580915"/>
    <w:rsid w:val="005F63D0"/>
    <w:rsid w:val="00627305"/>
    <w:rsid w:val="00632F57"/>
    <w:rsid w:val="00661C05"/>
    <w:rsid w:val="006E6BE1"/>
    <w:rsid w:val="00737AAE"/>
    <w:rsid w:val="007D740F"/>
    <w:rsid w:val="008533DE"/>
    <w:rsid w:val="008B263F"/>
    <w:rsid w:val="00906A03"/>
    <w:rsid w:val="009870EA"/>
    <w:rsid w:val="009D0AF7"/>
    <w:rsid w:val="00A37831"/>
    <w:rsid w:val="00A67A74"/>
    <w:rsid w:val="00A77588"/>
    <w:rsid w:val="00B3170F"/>
    <w:rsid w:val="00BA0040"/>
    <w:rsid w:val="00BC7583"/>
    <w:rsid w:val="00C72A0A"/>
    <w:rsid w:val="00D94C14"/>
    <w:rsid w:val="00EF2363"/>
    <w:rsid w:val="00F533B3"/>
    <w:rsid w:val="00FD3FE4"/>
    <w:rsid w:val="00FF73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DB7A7"/>
  <w15:chartTrackingRefBased/>
  <w15:docId w15:val="{F203D323-A6FD-4F31-989E-1F8275D7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70EA"/>
    <w:pPr>
      <w:spacing w:after="0" w:line="260" w:lineRule="atLeast"/>
    </w:pPr>
    <w:rPr>
      <w:rFonts w:ascii="Verdana" w:hAnsi="Verdana" w:cs="Times New Roman"/>
      <w:kern w:val="1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53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F2363"/>
    <w:pPr>
      <w:ind w:left="720"/>
      <w:contextualSpacing/>
    </w:pPr>
  </w:style>
  <w:style w:type="paragraph" w:styleId="Kopfzeile">
    <w:name w:val="header"/>
    <w:basedOn w:val="Standard"/>
    <w:link w:val="KopfzeileZchn"/>
    <w:uiPriority w:val="99"/>
    <w:unhideWhenUsed/>
    <w:rsid w:val="0062730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27305"/>
    <w:rPr>
      <w:rFonts w:ascii="Verdana" w:hAnsi="Verdana" w:cs="Times New Roman"/>
      <w:kern w:val="10"/>
      <w:sz w:val="20"/>
      <w:szCs w:val="20"/>
      <w:lang w:eastAsia="de-DE"/>
    </w:rPr>
  </w:style>
  <w:style w:type="paragraph" w:styleId="Fuzeile">
    <w:name w:val="footer"/>
    <w:basedOn w:val="Standard"/>
    <w:link w:val="FuzeileZchn"/>
    <w:uiPriority w:val="99"/>
    <w:unhideWhenUsed/>
    <w:rsid w:val="0062730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27305"/>
    <w:rPr>
      <w:rFonts w:ascii="Verdana" w:hAnsi="Verdana" w:cs="Times New Roman"/>
      <w:kern w:val="10"/>
      <w:sz w:val="20"/>
      <w:szCs w:val="20"/>
      <w:lang w:eastAsia="de-DE"/>
    </w:rPr>
  </w:style>
  <w:style w:type="paragraph" w:styleId="Sprechblasentext">
    <w:name w:val="Balloon Text"/>
    <w:basedOn w:val="Standard"/>
    <w:link w:val="SprechblasentextZchn"/>
    <w:uiPriority w:val="99"/>
    <w:semiHidden/>
    <w:unhideWhenUsed/>
    <w:rsid w:val="00632F5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2F57"/>
    <w:rPr>
      <w:rFonts w:ascii="Segoe UI" w:hAnsi="Segoe UI" w:cs="Segoe UI"/>
      <w:kern w:val="10"/>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4226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BaFin</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SohnsAnn</dc:creator>
  <cp:keywords/>
  <dc:description/>
  <cp:lastModifiedBy>BaFin</cp:lastModifiedBy>
  <cp:revision>7</cp:revision>
  <dcterms:created xsi:type="dcterms:W3CDTF">2021-07-15T14:54:00Z</dcterms:created>
  <dcterms:modified xsi:type="dcterms:W3CDTF">2021-07-19T13:04:00Z</dcterms:modified>
</cp:coreProperties>
</file>