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6E" w:rsidRDefault="005C2202" w:rsidP="005C2202">
      <w:pPr>
        <w:pStyle w:val="Textkrper"/>
        <w:jc w:val="center"/>
        <w:rPr>
          <w:b/>
          <w:sz w:val="32"/>
          <w:szCs w:val="32"/>
        </w:rPr>
      </w:pPr>
      <w:r w:rsidRPr="005C2202">
        <w:rPr>
          <w:b/>
          <w:sz w:val="32"/>
          <w:szCs w:val="32"/>
        </w:rPr>
        <w:t>Glossar</w:t>
      </w:r>
      <w:r w:rsidR="00C6436E">
        <w:rPr>
          <w:b/>
          <w:sz w:val="32"/>
          <w:szCs w:val="32"/>
        </w:rPr>
        <w:t xml:space="preserve"> zu mit einem Zahlungskonto </w:t>
      </w:r>
    </w:p>
    <w:p w:rsidR="00E70704" w:rsidRPr="00E70704" w:rsidRDefault="00C6436E" w:rsidP="00E70704">
      <w:pPr>
        <w:pStyle w:val="Textkrper"/>
        <w:jc w:val="center"/>
        <w:rPr>
          <w:b/>
          <w:sz w:val="32"/>
          <w:szCs w:val="32"/>
        </w:rPr>
      </w:pPr>
      <w:r>
        <w:rPr>
          <w:b/>
          <w:sz w:val="32"/>
          <w:szCs w:val="32"/>
        </w:rPr>
        <w:t>verbundenen Diensten</w:t>
      </w:r>
    </w:p>
    <w:p w:rsidR="005E6B14" w:rsidRDefault="00E70704" w:rsidP="005E6B14">
      <w:pPr>
        <w:pStyle w:val="Textkrper"/>
        <w:ind w:left="360"/>
        <w:rPr>
          <w:rFonts w:cs="TimesNewRomanPSMT"/>
          <w:kern w:val="0"/>
        </w:rPr>
      </w:pPr>
      <w:r>
        <w:rPr>
          <w:rFonts w:cs="TimesNewRomanPSMT"/>
          <w:kern w:val="0"/>
        </w:rPr>
        <w:t xml:space="preserve"> </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253"/>
      </w:tblGrid>
      <w:tr w:rsidR="00FB029F" w:rsidRPr="00FB029F" w:rsidTr="00FB029F">
        <w:tc>
          <w:tcPr>
            <w:tcW w:w="8251" w:type="dxa"/>
            <w:gridSpan w:val="2"/>
            <w:shd w:val="clear" w:color="auto" w:fill="BFBFBF" w:themeFill="background1" w:themeFillShade="BF"/>
          </w:tcPr>
          <w:p w:rsidR="00FB029F" w:rsidRPr="00FB029F" w:rsidRDefault="00FB029F" w:rsidP="00565E7A">
            <w:pPr>
              <w:autoSpaceDE w:val="0"/>
              <w:autoSpaceDN w:val="0"/>
              <w:adjustRightInd w:val="0"/>
              <w:spacing w:line="320" w:lineRule="atLeast"/>
              <w:rPr>
                <w:rFonts w:cs="Helvetica"/>
                <w:sz w:val="22"/>
                <w:szCs w:val="22"/>
              </w:rPr>
            </w:pPr>
            <w:r w:rsidRPr="00FB029F">
              <w:rPr>
                <w:rFonts w:cs="Helvetica"/>
                <w:b/>
                <w:sz w:val="22"/>
                <w:szCs w:val="22"/>
              </w:rPr>
              <w:t>Allgemeine mit dem Konto verbundene Dienste</w:t>
            </w:r>
            <w:r w:rsidRPr="00FB029F">
              <w:rPr>
                <w:rFonts w:cs="Helvetica"/>
                <w:b/>
                <w:sz w:val="22"/>
                <w:szCs w:val="22"/>
              </w:rPr>
              <w:br/>
            </w:r>
          </w:p>
        </w:tc>
      </w:tr>
      <w:tr w:rsidR="00676265" w:rsidRPr="00FB029F" w:rsidTr="00A110F0">
        <w:tc>
          <w:tcPr>
            <w:tcW w:w="3998" w:type="dxa"/>
            <w:shd w:val="clear" w:color="auto" w:fill="auto"/>
          </w:tcPr>
          <w:p w:rsidR="00676265" w:rsidRPr="00FB029F" w:rsidRDefault="00676265" w:rsidP="00565E7A">
            <w:pPr>
              <w:tabs>
                <w:tab w:val="left" w:pos="709"/>
              </w:tabs>
              <w:spacing w:line="320" w:lineRule="atLeast"/>
              <w:rPr>
                <w:sz w:val="22"/>
                <w:szCs w:val="22"/>
              </w:rPr>
            </w:pPr>
            <w:r w:rsidRPr="00FB029F">
              <w:rPr>
                <w:sz w:val="22"/>
                <w:szCs w:val="22"/>
              </w:rPr>
              <w:t>Kontoführung</w:t>
            </w:r>
          </w:p>
        </w:tc>
        <w:tc>
          <w:tcPr>
            <w:tcW w:w="4253" w:type="dxa"/>
            <w:shd w:val="clear" w:color="auto" w:fill="auto"/>
          </w:tcPr>
          <w:p w:rsidR="00676265" w:rsidRPr="00FB029F" w:rsidRDefault="00676265" w:rsidP="00162C98">
            <w:pPr>
              <w:spacing w:line="320" w:lineRule="atLeast"/>
              <w:rPr>
                <w:sz w:val="22"/>
                <w:szCs w:val="22"/>
              </w:rPr>
            </w:pPr>
            <w:r w:rsidRPr="00FB029F">
              <w:rPr>
                <w:sz w:val="22"/>
                <w:szCs w:val="22"/>
              </w:rPr>
              <w:t xml:space="preserve">Der Kontoanbieter führt das Konto, das durch den Kunden genutzt wird. </w:t>
            </w:r>
          </w:p>
          <w:p w:rsidR="00676265" w:rsidRPr="00FB029F" w:rsidRDefault="00676265" w:rsidP="00162C98">
            <w:pPr>
              <w:spacing w:line="320" w:lineRule="atLeast"/>
              <w:rPr>
                <w:sz w:val="22"/>
                <w:szCs w:val="22"/>
              </w:rPr>
            </w:pPr>
          </w:p>
        </w:tc>
      </w:tr>
      <w:tr w:rsidR="00FB029F" w:rsidRPr="00FB029F" w:rsidTr="00FB029F">
        <w:tc>
          <w:tcPr>
            <w:tcW w:w="8251" w:type="dxa"/>
            <w:gridSpan w:val="2"/>
            <w:shd w:val="clear" w:color="auto" w:fill="BFBFBF" w:themeFill="background1" w:themeFillShade="BF"/>
          </w:tcPr>
          <w:p w:rsidR="00FB029F" w:rsidRPr="00FB029F" w:rsidRDefault="00FB029F" w:rsidP="00FB029F">
            <w:pPr>
              <w:autoSpaceDE w:val="0"/>
              <w:autoSpaceDN w:val="0"/>
              <w:adjustRightInd w:val="0"/>
              <w:spacing w:line="320" w:lineRule="atLeast"/>
              <w:rPr>
                <w:rFonts w:cs="Helvetica"/>
                <w:b/>
                <w:sz w:val="22"/>
                <w:szCs w:val="22"/>
              </w:rPr>
            </w:pPr>
            <w:r w:rsidRPr="00FB029F">
              <w:rPr>
                <w:rFonts w:cs="Helvetica"/>
                <w:b/>
                <w:sz w:val="22"/>
                <w:szCs w:val="22"/>
              </w:rPr>
              <w:t xml:space="preserve">Zahlungen (ohne Karten) </w:t>
            </w:r>
            <w:r w:rsidRPr="00FB029F">
              <w:rPr>
                <w:rFonts w:cs="Helvetica"/>
                <w:b/>
                <w:sz w:val="22"/>
                <w:szCs w:val="22"/>
              </w:rPr>
              <w:br/>
            </w:r>
          </w:p>
        </w:tc>
      </w:tr>
      <w:tr w:rsidR="00C8423F" w:rsidRPr="00FB029F" w:rsidTr="002A7DB1">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FB029F">
            <w:pPr>
              <w:autoSpaceDE w:val="0"/>
              <w:autoSpaceDN w:val="0"/>
              <w:adjustRightInd w:val="0"/>
              <w:spacing w:line="320" w:lineRule="atLeast"/>
              <w:rPr>
                <w:sz w:val="22"/>
                <w:szCs w:val="22"/>
              </w:rPr>
            </w:pPr>
            <w:r w:rsidRPr="00FB029F">
              <w:rPr>
                <w:sz w:val="22"/>
                <w:szCs w:val="22"/>
              </w:rPr>
              <w:t xml:space="preserve">Überweisung </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Der Kontoanbieter führt auf Anweisung des Kunden Geldüberweisungen von dem Konto des Kunden auf ein anderes Konto durch.</w:t>
            </w:r>
          </w:p>
          <w:p w:rsidR="00C8423F" w:rsidRPr="00FB029F" w:rsidRDefault="00C8423F" w:rsidP="00565E7A">
            <w:pPr>
              <w:tabs>
                <w:tab w:val="left" w:pos="709"/>
              </w:tabs>
              <w:spacing w:line="320" w:lineRule="atLeast"/>
              <w:rPr>
                <w:sz w:val="22"/>
                <w:szCs w:val="22"/>
              </w:rPr>
            </w:pPr>
            <w:r w:rsidRPr="00FB029F">
              <w:rPr>
                <w:sz w:val="22"/>
                <w:szCs w:val="22"/>
              </w:rPr>
              <w:t>Ein maßgeblicher Zahlungskontendienst im Sinne des § 2 Abs. 6 ZKG liegt vor, wenn eine Überweisung in Euro innerhalb der EWR-Staaten erfolgt.</w:t>
            </w:r>
          </w:p>
          <w:p w:rsidR="00C8423F" w:rsidRPr="00FB029F" w:rsidRDefault="00C8423F" w:rsidP="00565E7A">
            <w:pPr>
              <w:tabs>
                <w:tab w:val="left" w:pos="709"/>
              </w:tabs>
              <w:spacing w:line="320" w:lineRule="atLeast"/>
              <w:rPr>
                <w:sz w:val="22"/>
                <w:szCs w:val="22"/>
              </w:rPr>
            </w:pPr>
          </w:p>
        </w:tc>
      </w:tr>
      <w:tr w:rsidR="00C8423F" w:rsidRPr="00FB029F" w:rsidTr="0085676B">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 xml:space="preserve">Gutschrift einer Überweisung </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AF3972">
            <w:pPr>
              <w:tabs>
                <w:tab w:val="center" w:pos="4536"/>
                <w:tab w:val="right" w:pos="9072"/>
              </w:tabs>
              <w:spacing w:line="320" w:lineRule="atLeast"/>
              <w:rPr>
                <w:sz w:val="22"/>
                <w:szCs w:val="22"/>
              </w:rPr>
            </w:pPr>
            <w:r w:rsidRPr="00FB029F">
              <w:rPr>
                <w:sz w:val="22"/>
                <w:szCs w:val="22"/>
              </w:rPr>
              <w:t>Der Kunde erhält den Betrag einer Überweisung aus den EWR-Staaten auf seinem Zahlungskonto in Euro gutgeschrieben.</w:t>
            </w:r>
          </w:p>
          <w:p w:rsidR="00C8423F" w:rsidRPr="00FB029F" w:rsidRDefault="00C8423F" w:rsidP="00AF3972">
            <w:pPr>
              <w:tabs>
                <w:tab w:val="center" w:pos="4536"/>
                <w:tab w:val="right" w:pos="9072"/>
              </w:tabs>
              <w:spacing w:line="320" w:lineRule="atLeast"/>
              <w:rPr>
                <w:i/>
                <w:sz w:val="22"/>
                <w:szCs w:val="22"/>
              </w:rPr>
            </w:pPr>
            <w:r w:rsidRPr="00FB029F">
              <w:rPr>
                <w:i/>
                <w:sz w:val="22"/>
                <w:szCs w:val="22"/>
              </w:rPr>
              <w:br/>
            </w:r>
          </w:p>
        </w:tc>
      </w:tr>
      <w:tr w:rsidR="00C8423F" w:rsidRPr="00FB029F" w:rsidTr="004D6F89">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Dauerauftrag</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Der Kontoanbieter überweist auf Anweisung des Kunden regelmäßig einen festen Geldbetrag vom Konto des Kunden auf ein anderes Konto.</w:t>
            </w:r>
          </w:p>
          <w:p w:rsidR="00C8423F" w:rsidRPr="00FB029F" w:rsidRDefault="00C8423F" w:rsidP="00565E7A">
            <w:pPr>
              <w:tabs>
                <w:tab w:val="left" w:pos="709"/>
              </w:tabs>
              <w:spacing w:line="320" w:lineRule="atLeast"/>
              <w:rPr>
                <w:sz w:val="22"/>
                <w:szCs w:val="22"/>
              </w:rPr>
            </w:pPr>
            <w:r w:rsidRPr="00FB029F">
              <w:rPr>
                <w:sz w:val="22"/>
                <w:szCs w:val="22"/>
              </w:rPr>
              <w:t>Ein maßgeblicher Zahlungskontendienst im Sinne des § 2 Abs. 6 ZKG liegt vor, wenn die Überweisung in Euro innerhalb der EWR-Staaten erfolgt.</w:t>
            </w:r>
          </w:p>
          <w:p w:rsidR="00C8423F" w:rsidRPr="00FB029F" w:rsidRDefault="00C8423F" w:rsidP="00565E7A">
            <w:pPr>
              <w:tabs>
                <w:tab w:val="left" w:pos="709"/>
              </w:tabs>
              <w:spacing w:line="320" w:lineRule="atLeast"/>
              <w:rPr>
                <w:sz w:val="22"/>
                <w:szCs w:val="22"/>
              </w:rPr>
            </w:pPr>
          </w:p>
        </w:tc>
      </w:tr>
      <w:tr w:rsidR="00C8423F" w:rsidRPr="00FB029F" w:rsidTr="00306F14">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Lastschrift</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 xml:space="preserve">Der Kunde ermächtigt eine andere Person (Empfänger), den Kontoanbieter anzuweisen, Geld </w:t>
            </w:r>
            <w:r w:rsidRPr="00FB029F">
              <w:rPr>
                <w:sz w:val="22"/>
                <w:szCs w:val="22"/>
              </w:rPr>
              <w:lastRenderedPageBreak/>
              <w:t>vom Konto des Kunden auf das Konto des Empfängers zu übertragen. Der Kontoanbieter überträgt dann zu einem oder mehreren von Kunde und Empfänger vereinbarten Termin(en) Geld von dem Konto des Kunden auf das Konto des Empfängers. Der Betrag kann unterschiedlich hoch sein.</w:t>
            </w:r>
          </w:p>
          <w:p w:rsidR="00C8423F" w:rsidRPr="00FB029F" w:rsidRDefault="00C8423F" w:rsidP="00565E7A">
            <w:pPr>
              <w:tabs>
                <w:tab w:val="left" w:pos="709"/>
              </w:tabs>
              <w:spacing w:line="320" w:lineRule="atLeast"/>
              <w:rPr>
                <w:sz w:val="22"/>
                <w:szCs w:val="22"/>
              </w:rPr>
            </w:pPr>
            <w:r w:rsidRPr="00FB029F">
              <w:rPr>
                <w:sz w:val="22"/>
                <w:szCs w:val="22"/>
              </w:rPr>
              <w:t>Ein maßgeblicher Zahlungskontendienst im Sinne des § 2 Abs. 6 ZKG liegt vor, wenn der Lastschrifteinzug in Euro aus EWR-Staaten erfolgt.</w:t>
            </w:r>
          </w:p>
          <w:p w:rsidR="00C8423F" w:rsidRPr="00FB029F" w:rsidRDefault="00C8423F" w:rsidP="00565E7A">
            <w:pPr>
              <w:tabs>
                <w:tab w:val="left" w:pos="709"/>
              </w:tabs>
              <w:spacing w:line="320" w:lineRule="atLeast"/>
              <w:rPr>
                <w:sz w:val="22"/>
                <w:szCs w:val="22"/>
              </w:rPr>
            </w:pPr>
          </w:p>
        </w:tc>
      </w:tr>
      <w:tr w:rsidR="00C8423F" w:rsidRPr="00FB029F" w:rsidTr="00D756C0">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0E5F7D">
            <w:pPr>
              <w:tabs>
                <w:tab w:val="left" w:pos="709"/>
              </w:tabs>
              <w:spacing w:line="320" w:lineRule="atLeast"/>
              <w:rPr>
                <w:sz w:val="22"/>
                <w:szCs w:val="22"/>
              </w:rPr>
            </w:pPr>
            <w:r w:rsidRPr="00FB029F">
              <w:rPr>
                <w:sz w:val="22"/>
                <w:szCs w:val="22"/>
              </w:rPr>
              <w:lastRenderedPageBreak/>
              <w:t>Berechtigte Ablehnung der Einlösung einer Lastschrift</w:t>
            </w:r>
          </w:p>
          <w:p w:rsidR="00C8423F" w:rsidRPr="00FB029F" w:rsidRDefault="00C8423F" w:rsidP="000E5F7D">
            <w:pPr>
              <w:tabs>
                <w:tab w:val="left" w:pos="709"/>
              </w:tabs>
              <w:spacing w:line="320" w:lineRule="atLeast"/>
              <w:rPr>
                <w:sz w:val="22"/>
                <w:szCs w:val="22"/>
              </w:rPr>
            </w:pPr>
          </w:p>
          <w:p w:rsidR="00C8423F" w:rsidRPr="00FB029F" w:rsidRDefault="00C8423F" w:rsidP="00593364">
            <w:pPr>
              <w:tabs>
                <w:tab w:val="left" w:pos="709"/>
              </w:tabs>
              <w:spacing w:line="320" w:lineRule="atLeast"/>
              <w:rPr>
                <w:sz w:val="22"/>
                <w:szCs w:val="22"/>
              </w:rPr>
            </w:pPr>
          </w:p>
          <w:p w:rsidR="00C8423F" w:rsidRPr="00FB029F" w:rsidRDefault="00C8423F" w:rsidP="00593364">
            <w:pPr>
              <w:tabs>
                <w:tab w:val="left" w:pos="709"/>
              </w:tabs>
              <w:spacing w:line="320" w:lineRule="atLeast"/>
              <w:rPr>
                <w:sz w:val="22"/>
                <w:szCs w:val="22"/>
              </w:rPr>
            </w:pPr>
          </w:p>
          <w:p w:rsidR="00C8423F" w:rsidRPr="00FB029F" w:rsidRDefault="00C8423F" w:rsidP="00593364">
            <w:pPr>
              <w:tabs>
                <w:tab w:val="left" w:pos="709"/>
              </w:tabs>
              <w:spacing w:line="320" w:lineRule="atLeast"/>
              <w:rPr>
                <w:sz w:val="22"/>
                <w:szCs w:val="22"/>
              </w:rPr>
            </w:pPr>
          </w:p>
          <w:p w:rsidR="00C8423F" w:rsidRPr="00FB029F" w:rsidRDefault="00C8423F" w:rsidP="00593364">
            <w:pPr>
              <w:tabs>
                <w:tab w:val="left" w:pos="709"/>
              </w:tabs>
              <w:spacing w:line="320" w:lineRule="atLeast"/>
              <w:rPr>
                <w:sz w:val="22"/>
                <w:szCs w:val="22"/>
              </w:rPr>
            </w:pPr>
            <w:r w:rsidRPr="00FB029F">
              <w:rPr>
                <w:sz w:val="22"/>
                <w:szCs w:val="22"/>
              </w:rPr>
              <w:t>Berechtigte Ablehnung der Ausführung eines Überweisungsauftrag</w:t>
            </w:r>
            <w:r w:rsidR="004A21AC">
              <w:rPr>
                <w:sz w:val="22"/>
                <w:szCs w:val="22"/>
              </w:rPr>
              <w:t>s</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Das Entgelt fällt an, wenn der Zahlungsdienstleister eine Lastschrift in Euro aus EWR-Staaten berechtigterweise nicht einlöst.</w:t>
            </w:r>
          </w:p>
          <w:p w:rsidR="00C8423F" w:rsidRPr="00FB029F" w:rsidRDefault="00C8423F" w:rsidP="00565E7A">
            <w:pPr>
              <w:tabs>
                <w:tab w:val="left" w:pos="709"/>
              </w:tabs>
              <w:spacing w:line="320" w:lineRule="atLeast"/>
              <w:rPr>
                <w:sz w:val="22"/>
                <w:szCs w:val="22"/>
              </w:rPr>
            </w:pPr>
          </w:p>
          <w:p w:rsidR="00C8423F" w:rsidRPr="00FB029F" w:rsidRDefault="00C8423F" w:rsidP="00867864">
            <w:pPr>
              <w:tabs>
                <w:tab w:val="left" w:pos="709"/>
              </w:tabs>
              <w:spacing w:line="320" w:lineRule="atLeast"/>
              <w:rPr>
                <w:i/>
                <w:sz w:val="22"/>
                <w:szCs w:val="22"/>
              </w:rPr>
            </w:pPr>
          </w:p>
          <w:p w:rsidR="00C8423F" w:rsidRPr="00FB029F" w:rsidRDefault="00C8423F" w:rsidP="00867864">
            <w:pPr>
              <w:tabs>
                <w:tab w:val="left" w:pos="709"/>
              </w:tabs>
              <w:spacing w:line="320" w:lineRule="atLeast"/>
              <w:rPr>
                <w:sz w:val="22"/>
                <w:szCs w:val="22"/>
              </w:rPr>
            </w:pPr>
            <w:r w:rsidRPr="00FB029F">
              <w:rPr>
                <w:sz w:val="22"/>
                <w:szCs w:val="22"/>
              </w:rPr>
              <w:t>Das Entgelt fällt an, wenn der Zahlungsdienstleister einen Überweisungsauftrag in Euro in EWR—Staaten berechtigterweise nicht ausführt.</w:t>
            </w:r>
          </w:p>
          <w:p w:rsidR="00C8423F" w:rsidRPr="00FB029F" w:rsidRDefault="00C8423F" w:rsidP="00867864">
            <w:pPr>
              <w:tabs>
                <w:tab w:val="left" w:pos="709"/>
              </w:tabs>
              <w:spacing w:line="320" w:lineRule="atLeast"/>
              <w:rPr>
                <w:sz w:val="22"/>
                <w:szCs w:val="22"/>
              </w:rPr>
            </w:pPr>
          </w:p>
          <w:p w:rsidR="00C8423F" w:rsidRPr="00FB029F" w:rsidRDefault="00C8423F" w:rsidP="003462E4">
            <w:pPr>
              <w:tabs>
                <w:tab w:val="left" w:pos="709"/>
              </w:tabs>
              <w:spacing w:line="320" w:lineRule="atLeast"/>
              <w:rPr>
                <w:sz w:val="22"/>
                <w:szCs w:val="22"/>
              </w:rPr>
            </w:pPr>
          </w:p>
        </w:tc>
      </w:tr>
      <w:tr w:rsidR="00FB029F" w:rsidRPr="00FB029F" w:rsidTr="00FB029F">
        <w:tc>
          <w:tcPr>
            <w:tcW w:w="8251" w:type="dxa"/>
            <w:gridSpan w:val="2"/>
            <w:shd w:val="clear" w:color="auto" w:fill="BFBFBF" w:themeFill="background1" w:themeFillShade="BF"/>
          </w:tcPr>
          <w:p w:rsidR="00FB029F" w:rsidRPr="00FB029F" w:rsidRDefault="00FB029F" w:rsidP="00565E7A">
            <w:pPr>
              <w:tabs>
                <w:tab w:val="left" w:pos="709"/>
              </w:tabs>
              <w:spacing w:line="320" w:lineRule="atLeast"/>
              <w:rPr>
                <w:b/>
                <w:sz w:val="22"/>
                <w:szCs w:val="22"/>
              </w:rPr>
            </w:pPr>
            <w:r w:rsidRPr="00FB029F">
              <w:rPr>
                <w:b/>
                <w:sz w:val="22"/>
                <w:szCs w:val="22"/>
              </w:rPr>
              <w:t>Karten und Bargeld</w:t>
            </w:r>
          </w:p>
          <w:p w:rsidR="00FB029F" w:rsidRPr="00FB029F" w:rsidRDefault="00FB029F" w:rsidP="00565E7A">
            <w:pPr>
              <w:tabs>
                <w:tab w:val="left" w:pos="709"/>
              </w:tabs>
              <w:spacing w:line="320" w:lineRule="atLeast"/>
              <w:rPr>
                <w:sz w:val="22"/>
                <w:szCs w:val="22"/>
                <w:highlight w:val="lightGray"/>
              </w:rPr>
            </w:pPr>
          </w:p>
        </w:tc>
      </w:tr>
      <w:tr w:rsidR="00C8423F" w:rsidRPr="00FB029F" w:rsidTr="0006741F">
        <w:tc>
          <w:tcPr>
            <w:tcW w:w="3998" w:type="dxa"/>
          </w:tcPr>
          <w:p w:rsidR="00C8423F" w:rsidRPr="00FB029F" w:rsidRDefault="00C8423F" w:rsidP="00565E7A">
            <w:pPr>
              <w:tabs>
                <w:tab w:val="left" w:pos="709"/>
              </w:tabs>
              <w:spacing w:line="320" w:lineRule="atLeast"/>
              <w:rPr>
                <w:sz w:val="22"/>
                <w:szCs w:val="22"/>
              </w:rPr>
            </w:pPr>
            <w:r w:rsidRPr="00FB029F">
              <w:rPr>
                <w:sz w:val="22"/>
                <w:szCs w:val="22"/>
              </w:rPr>
              <w:t>Ausgabe einer Debitkarte</w:t>
            </w:r>
          </w:p>
          <w:p w:rsidR="00C8423F" w:rsidRPr="00FB029F" w:rsidRDefault="00C8423F" w:rsidP="00565E7A">
            <w:pPr>
              <w:tabs>
                <w:tab w:val="left" w:pos="709"/>
              </w:tabs>
              <w:spacing w:line="320" w:lineRule="atLeast"/>
              <w:rPr>
                <w:sz w:val="22"/>
                <w:szCs w:val="22"/>
              </w:rPr>
            </w:pPr>
          </w:p>
        </w:tc>
        <w:tc>
          <w:tcPr>
            <w:tcW w:w="4253" w:type="dxa"/>
          </w:tcPr>
          <w:p w:rsidR="00C8423F" w:rsidRPr="00FB029F" w:rsidRDefault="00C8423F" w:rsidP="00565E7A">
            <w:pPr>
              <w:spacing w:line="320" w:lineRule="atLeast"/>
              <w:rPr>
                <w:sz w:val="22"/>
                <w:szCs w:val="22"/>
              </w:rPr>
            </w:pPr>
            <w:r w:rsidRPr="00FB029F">
              <w:rPr>
                <w:sz w:val="22"/>
                <w:szCs w:val="22"/>
              </w:rPr>
              <w:t xml:space="preserve">Der Kontoanbieter stellt eine Zahlungskarte bereit, die mit dem Konto des Kunden verbunden ist. Der Betrag jeder Transaktion durch die Verwendung der Zahlungskarte wird direkt und in voller Höhe von dem Konto des Kunden abgebucht. </w:t>
            </w:r>
          </w:p>
          <w:p w:rsidR="00C8423F" w:rsidRPr="00FB029F" w:rsidRDefault="00C8423F" w:rsidP="00565E7A">
            <w:pPr>
              <w:spacing w:line="320" w:lineRule="atLeast"/>
              <w:rPr>
                <w:sz w:val="22"/>
                <w:szCs w:val="22"/>
              </w:rPr>
            </w:pPr>
          </w:p>
        </w:tc>
      </w:tr>
      <w:tr w:rsidR="00C8423F" w:rsidRPr="00FB029F" w:rsidTr="00994EA6">
        <w:tc>
          <w:tcPr>
            <w:tcW w:w="3998" w:type="dxa"/>
          </w:tcPr>
          <w:p w:rsidR="00C8423F" w:rsidRPr="00FB029F" w:rsidRDefault="00C8423F" w:rsidP="00565E7A">
            <w:pPr>
              <w:tabs>
                <w:tab w:val="left" w:pos="709"/>
              </w:tabs>
              <w:spacing w:line="320" w:lineRule="atLeast"/>
              <w:rPr>
                <w:sz w:val="22"/>
                <w:szCs w:val="22"/>
              </w:rPr>
            </w:pPr>
            <w:r w:rsidRPr="00FB029F">
              <w:rPr>
                <w:sz w:val="22"/>
                <w:szCs w:val="22"/>
              </w:rPr>
              <w:t xml:space="preserve">Ausgabe einer Kreditkarte </w:t>
            </w:r>
          </w:p>
          <w:p w:rsidR="00C8423F" w:rsidRPr="00FB029F" w:rsidRDefault="00C8423F" w:rsidP="00565E7A">
            <w:pPr>
              <w:tabs>
                <w:tab w:val="left" w:pos="709"/>
              </w:tabs>
              <w:spacing w:line="320" w:lineRule="atLeast"/>
              <w:rPr>
                <w:sz w:val="22"/>
                <w:szCs w:val="22"/>
              </w:rPr>
            </w:pPr>
          </w:p>
        </w:tc>
        <w:tc>
          <w:tcPr>
            <w:tcW w:w="4253" w:type="dxa"/>
          </w:tcPr>
          <w:p w:rsidR="00C8423F" w:rsidRPr="00FB029F" w:rsidRDefault="00C8423F" w:rsidP="00565E7A">
            <w:pPr>
              <w:spacing w:line="320" w:lineRule="atLeast"/>
              <w:rPr>
                <w:sz w:val="22"/>
                <w:szCs w:val="22"/>
              </w:rPr>
            </w:pPr>
            <w:r w:rsidRPr="00FB029F">
              <w:rPr>
                <w:sz w:val="22"/>
                <w:szCs w:val="22"/>
              </w:rPr>
              <w:t xml:space="preserve">Der Kontoanbieter stellt eine Zahlungskarte bereit, die mit dem Konto des Kunden verbunden ist. Der Gesamtbetrag der </w:t>
            </w:r>
            <w:r w:rsidRPr="00FB029F">
              <w:rPr>
                <w:sz w:val="22"/>
                <w:szCs w:val="22"/>
              </w:rPr>
              <w:lastRenderedPageBreak/>
              <w:t>Transaktionen durch die Verwendung der Zahlungskarte innerhalb eines vereinbarten Zeitraums wird zu einem bestimmten Termin in voller Höhe oder teilweise von dem Konto des Kunden abgebucht. In einer Kreditvereinbarung zwischen dem Anbieter und dem Kunden wird festgelegt, ob dem Kunden für die Inanspruchnahme des Kredits Zinsen berechnet werden.</w:t>
            </w:r>
          </w:p>
          <w:p w:rsidR="00C8423F" w:rsidRPr="00FB029F" w:rsidRDefault="00C8423F" w:rsidP="00565E7A">
            <w:pPr>
              <w:spacing w:line="320" w:lineRule="atLeast"/>
              <w:rPr>
                <w:sz w:val="22"/>
                <w:szCs w:val="22"/>
              </w:rPr>
            </w:pPr>
          </w:p>
        </w:tc>
      </w:tr>
      <w:tr w:rsidR="00C8423F" w:rsidRPr="00FB029F" w:rsidTr="005D0722">
        <w:tc>
          <w:tcPr>
            <w:tcW w:w="3998" w:type="dxa"/>
          </w:tcPr>
          <w:p w:rsidR="00C8423F" w:rsidRPr="00FB029F" w:rsidRDefault="00C8423F" w:rsidP="00565E7A">
            <w:pPr>
              <w:tabs>
                <w:tab w:val="left" w:pos="709"/>
              </w:tabs>
              <w:spacing w:line="320" w:lineRule="atLeast"/>
              <w:rPr>
                <w:sz w:val="22"/>
                <w:szCs w:val="22"/>
              </w:rPr>
            </w:pPr>
            <w:r w:rsidRPr="00FB029F">
              <w:rPr>
                <w:sz w:val="22"/>
                <w:szCs w:val="22"/>
              </w:rPr>
              <w:lastRenderedPageBreak/>
              <w:t>Bargeldeinzahlung</w:t>
            </w:r>
          </w:p>
        </w:tc>
        <w:tc>
          <w:tcPr>
            <w:tcW w:w="4253" w:type="dxa"/>
          </w:tcPr>
          <w:p w:rsidR="00C8423F" w:rsidRPr="00FB029F" w:rsidRDefault="00C8423F" w:rsidP="00565E7A">
            <w:pPr>
              <w:spacing w:line="320" w:lineRule="atLeast"/>
              <w:rPr>
                <w:sz w:val="22"/>
                <w:szCs w:val="22"/>
              </w:rPr>
            </w:pPr>
            <w:r w:rsidRPr="00FB029F">
              <w:rPr>
                <w:sz w:val="22"/>
                <w:szCs w:val="22"/>
              </w:rPr>
              <w:t xml:space="preserve">Der Kunde zahlt am Schalter oder am Automaten seines Zahlungsdienstleisters Bargeld in Euro auf sein Konto ein.  </w:t>
            </w:r>
          </w:p>
          <w:p w:rsidR="00C8423F" w:rsidRPr="00FB029F" w:rsidRDefault="00C8423F" w:rsidP="00B02611">
            <w:pPr>
              <w:spacing w:line="320" w:lineRule="atLeast"/>
              <w:rPr>
                <w:sz w:val="22"/>
                <w:szCs w:val="22"/>
              </w:rPr>
            </w:pPr>
          </w:p>
        </w:tc>
      </w:tr>
      <w:tr w:rsidR="00C8423F" w:rsidRPr="00FB029F" w:rsidTr="00EA0CC0">
        <w:tc>
          <w:tcPr>
            <w:tcW w:w="3998" w:type="dxa"/>
          </w:tcPr>
          <w:p w:rsidR="00C8423F" w:rsidRPr="00FB029F" w:rsidRDefault="00C8423F" w:rsidP="00565E7A">
            <w:pPr>
              <w:tabs>
                <w:tab w:val="left" w:pos="709"/>
              </w:tabs>
              <w:spacing w:line="320" w:lineRule="atLeast"/>
              <w:rPr>
                <w:sz w:val="22"/>
                <w:szCs w:val="22"/>
              </w:rPr>
            </w:pPr>
            <w:r w:rsidRPr="00FB029F">
              <w:rPr>
                <w:sz w:val="22"/>
                <w:szCs w:val="22"/>
              </w:rPr>
              <w:t xml:space="preserve">Bargeldauszahlung </w:t>
            </w:r>
          </w:p>
        </w:tc>
        <w:tc>
          <w:tcPr>
            <w:tcW w:w="4253" w:type="dxa"/>
          </w:tcPr>
          <w:p w:rsidR="00C8423F" w:rsidRPr="00FB029F" w:rsidRDefault="00C8423F" w:rsidP="00565E7A">
            <w:pPr>
              <w:tabs>
                <w:tab w:val="left" w:pos="709"/>
              </w:tabs>
              <w:spacing w:line="320" w:lineRule="atLeast"/>
              <w:rPr>
                <w:sz w:val="22"/>
                <w:szCs w:val="22"/>
              </w:rPr>
            </w:pPr>
            <w:r w:rsidRPr="00FB029F">
              <w:rPr>
                <w:sz w:val="22"/>
                <w:szCs w:val="22"/>
              </w:rPr>
              <w:t xml:space="preserve">Der Kunde hebt Bargeld von seinem Konto ab. </w:t>
            </w:r>
          </w:p>
          <w:p w:rsidR="00C8423F" w:rsidRPr="00676265" w:rsidRDefault="00C8423F" w:rsidP="00565E7A">
            <w:pPr>
              <w:tabs>
                <w:tab w:val="left" w:pos="709"/>
              </w:tabs>
              <w:spacing w:line="320" w:lineRule="atLeast"/>
              <w:rPr>
                <w:sz w:val="22"/>
                <w:szCs w:val="22"/>
              </w:rPr>
            </w:pPr>
            <w:r w:rsidRPr="00676265">
              <w:rPr>
                <w:sz w:val="22"/>
                <w:szCs w:val="22"/>
              </w:rPr>
              <w:t xml:space="preserve">Ein maßgeblicher Zahlungskontendienst im Sinne des § 2 Abs. 6 ZKG liegt vor, wenn die Bargeldauszahlung am Schalter in Euro erfolgt. </w:t>
            </w:r>
          </w:p>
          <w:p w:rsidR="00C8423F" w:rsidRPr="00FB029F" w:rsidRDefault="00C8423F" w:rsidP="00565E7A">
            <w:pPr>
              <w:tabs>
                <w:tab w:val="left" w:pos="709"/>
              </w:tabs>
              <w:spacing w:line="320" w:lineRule="atLeast"/>
              <w:rPr>
                <w:sz w:val="22"/>
                <w:szCs w:val="22"/>
              </w:rPr>
            </w:pPr>
          </w:p>
        </w:tc>
      </w:tr>
      <w:tr w:rsidR="00C8423F" w:rsidRPr="00FB029F" w:rsidTr="00AB1FF9">
        <w:tc>
          <w:tcPr>
            <w:tcW w:w="3998" w:type="dxa"/>
          </w:tcPr>
          <w:p w:rsidR="00C8423F" w:rsidRPr="00FB029F" w:rsidRDefault="00C8423F" w:rsidP="00565E7A">
            <w:pPr>
              <w:tabs>
                <w:tab w:val="center" w:pos="4536"/>
                <w:tab w:val="right" w:pos="9072"/>
              </w:tabs>
              <w:spacing w:after="120" w:line="320" w:lineRule="atLeast"/>
              <w:rPr>
                <w:sz w:val="22"/>
                <w:szCs w:val="22"/>
              </w:rPr>
            </w:pPr>
            <w:r w:rsidRPr="00FB029F">
              <w:rPr>
                <w:sz w:val="22"/>
                <w:szCs w:val="22"/>
              </w:rPr>
              <w:t xml:space="preserve">Bargeldauszahlung mit der </w:t>
            </w:r>
            <w:r w:rsidRPr="00FB029F">
              <w:rPr>
                <w:sz w:val="22"/>
                <w:szCs w:val="22"/>
              </w:rPr>
              <w:br/>
              <w:t>Debitkarte am Geldautomaten</w:t>
            </w:r>
          </w:p>
          <w:p w:rsidR="00C8423F" w:rsidRPr="00FB029F" w:rsidRDefault="00C8423F" w:rsidP="00565E7A">
            <w:pPr>
              <w:ind w:left="227"/>
              <w:contextualSpacing/>
              <w:rPr>
                <w:sz w:val="22"/>
                <w:szCs w:val="22"/>
              </w:rPr>
            </w:pPr>
          </w:p>
        </w:tc>
        <w:tc>
          <w:tcPr>
            <w:tcW w:w="4253" w:type="dxa"/>
          </w:tcPr>
          <w:p w:rsidR="00C8423F" w:rsidRPr="00FB029F" w:rsidRDefault="00C8423F" w:rsidP="00565E7A">
            <w:pPr>
              <w:tabs>
                <w:tab w:val="left" w:pos="709"/>
              </w:tabs>
              <w:spacing w:line="320" w:lineRule="atLeast"/>
              <w:rPr>
                <w:sz w:val="22"/>
                <w:szCs w:val="22"/>
              </w:rPr>
            </w:pPr>
            <w:r w:rsidRPr="00FB029F">
              <w:rPr>
                <w:sz w:val="22"/>
                <w:szCs w:val="22"/>
              </w:rPr>
              <w:t>Der Kunde hebt Bargeld in Euro von seinem Konto mit der Debitkarte an einem Geldautomaten innerhalb der EWR-Staaten ab.</w:t>
            </w:r>
          </w:p>
          <w:p w:rsidR="00C8423F" w:rsidRPr="00FB029F" w:rsidRDefault="00C8423F" w:rsidP="00B02611">
            <w:pPr>
              <w:tabs>
                <w:tab w:val="left" w:pos="709"/>
              </w:tabs>
              <w:spacing w:line="320" w:lineRule="atLeast"/>
              <w:rPr>
                <w:sz w:val="22"/>
                <w:szCs w:val="22"/>
              </w:rPr>
            </w:pPr>
          </w:p>
        </w:tc>
      </w:tr>
      <w:tr w:rsidR="00C8423F" w:rsidRPr="00FB029F" w:rsidTr="00A43523">
        <w:tc>
          <w:tcPr>
            <w:tcW w:w="3998" w:type="dxa"/>
          </w:tcPr>
          <w:p w:rsidR="00C8423F" w:rsidRPr="00FB029F" w:rsidRDefault="00C8423F" w:rsidP="005C3BD0">
            <w:pPr>
              <w:tabs>
                <w:tab w:val="left" w:pos="3181"/>
              </w:tabs>
              <w:spacing w:line="320" w:lineRule="atLeast"/>
              <w:rPr>
                <w:sz w:val="22"/>
                <w:szCs w:val="22"/>
              </w:rPr>
            </w:pPr>
            <w:r w:rsidRPr="00FB029F">
              <w:rPr>
                <w:sz w:val="22"/>
                <w:szCs w:val="22"/>
              </w:rPr>
              <w:t xml:space="preserve">Bargeldauszahlung mit der </w:t>
            </w:r>
            <w:r w:rsidRPr="00FB029F">
              <w:rPr>
                <w:sz w:val="22"/>
                <w:szCs w:val="22"/>
              </w:rPr>
              <w:br/>
              <w:t>Debitkarte an fremden Geldautomaten in Fremdwährung</w:t>
            </w:r>
          </w:p>
        </w:tc>
        <w:tc>
          <w:tcPr>
            <w:tcW w:w="4253" w:type="dxa"/>
          </w:tcPr>
          <w:p w:rsidR="00C8423F" w:rsidRPr="00FB029F" w:rsidRDefault="00C8423F" w:rsidP="005C3BD0">
            <w:pPr>
              <w:tabs>
                <w:tab w:val="left" w:pos="709"/>
              </w:tabs>
              <w:spacing w:line="320" w:lineRule="atLeast"/>
              <w:rPr>
                <w:sz w:val="22"/>
                <w:szCs w:val="22"/>
              </w:rPr>
            </w:pPr>
            <w:r w:rsidRPr="00FB029F">
              <w:rPr>
                <w:sz w:val="22"/>
                <w:szCs w:val="22"/>
              </w:rPr>
              <w:t xml:space="preserve">Der Kunde hebt Bargeld von seinem Konto mit seiner Debitkarte in Fremdwährung (nicht in Euro) an fremden Geldautomaten ab. </w:t>
            </w:r>
          </w:p>
          <w:p w:rsidR="00C8423F" w:rsidRPr="00FB029F" w:rsidRDefault="00C8423F" w:rsidP="005C3BD0">
            <w:pPr>
              <w:tabs>
                <w:tab w:val="left" w:pos="709"/>
              </w:tabs>
              <w:spacing w:line="320" w:lineRule="atLeast"/>
              <w:rPr>
                <w:sz w:val="22"/>
                <w:szCs w:val="22"/>
              </w:rPr>
            </w:pPr>
          </w:p>
        </w:tc>
      </w:tr>
      <w:tr w:rsidR="00C8423F" w:rsidRPr="00FB029F" w:rsidTr="008C2F53">
        <w:tc>
          <w:tcPr>
            <w:tcW w:w="3998" w:type="dxa"/>
          </w:tcPr>
          <w:p w:rsidR="00C8423F" w:rsidRPr="00FB029F" w:rsidRDefault="00C8423F" w:rsidP="00093B99">
            <w:pPr>
              <w:tabs>
                <w:tab w:val="center" w:pos="4536"/>
                <w:tab w:val="right" w:pos="9072"/>
              </w:tabs>
              <w:spacing w:after="120" w:line="320" w:lineRule="atLeast"/>
              <w:rPr>
                <w:sz w:val="22"/>
                <w:szCs w:val="22"/>
              </w:rPr>
            </w:pPr>
            <w:r w:rsidRPr="00FB029F">
              <w:rPr>
                <w:sz w:val="22"/>
                <w:szCs w:val="22"/>
              </w:rPr>
              <w:t xml:space="preserve">Bargeldauszahlung mit der Kreditkarte am Geldautomaten </w:t>
            </w:r>
          </w:p>
        </w:tc>
        <w:tc>
          <w:tcPr>
            <w:tcW w:w="4253" w:type="dxa"/>
          </w:tcPr>
          <w:p w:rsidR="00C8423F" w:rsidRPr="00FB029F" w:rsidRDefault="00C8423F" w:rsidP="00565E7A">
            <w:pPr>
              <w:tabs>
                <w:tab w:val="left" w:pos="709"/>
              </w:tabs>
              <w:spacing w:line="320" w:lineRule="atLeast"/>
              <w:rPr>
                <w:sz w:val="22"/>
                <w:szCs w:val="22"/>
              </w:rPr>
            </w:pPr>
            <w:r w:rsidRPr="00FB029F">
              <w:rPr>
                <w:sz w:val="22"/>
                <w:szCs w:val="22"/>
              </w:rPr>
              <w:t xml:space="preserve">Der Kunde hebt Bargeld in Euro mit der Kreditkarte an einem Geldautomaten innerhalb der EWR-Staaten ab. </w:t>
            </w:r>
          </w:p>
          <w:p w:rsidR="00C8423F" w:rsidRPr="00FB029F" w:rsidRDefault="00C8423F" w:rsidP="00EC7DEB">
            <w:pPr>
              <w:tabs>
                <w:tab w:val="left" w:pos="709"/>
              </w:tabs>
              <w:spacing w:line="320" w:lineRule="atLeast"/>
              <w:rPr>
                <w:sz w:val="22"/>
                <w:szCs w:val="22"/>
              </w:rPr>
            </w:pPr>
          </w:p>
        </w:tc>
      </w:tr>
      <w:tr w:rsidR="00C8423F" w:rsidRPr="00FB029F" w:rsidTr="00C6690E">
        <w:tc>
          <w:tcPr>
            <w:tcW w:w="3998" w:type="dxa"/>
          </w:tcPr>
          <w:p w:rsidR="00C8423F" w:rsidRPr="00FB029F" w:rsidRDefault="00C8423F" w:rsidP="005C3BD0">
            <w:pPr>
              <w:tabs>
                <w:tab w:val="left" w:pos="709"/>
              </w:tabs>
              <w:spacing w:line="320" w:lineRule="atLeast"/>
              <w:rPr>
                <w:sz w:val="22"/>
                <w:szCs w:val="22"/>
              </w:rPr>
            </w:pPr>
            <w:r w:rsidRPr="00FB029F">
              <w:rPr>
                <w:sz w:val="22"/>
                <w:szCs w:val="22"/>
              </w:rPr>
              <w:lastRenderedPageBreak/>
              <w:t>Bargeldauszahlung mit der Kreditkarte an fremden Geldautomaten in Fremdwährung</w:t>
            </w:r>
          </w:p>
        </w:tc>
        <w:tc>
          <w:tcPr>
            <w:tcW w:w="4253" w:type="dxa"/>
          </w:tcPr>
          <w:p w:rsidR="00C8423F" w:rsidRPr="00FB029F" w:rsidRDefault="00C8423F" w:rsidP="005C3BD0">
            <w:pPr>
              <w:tabs>
                <w:tab w:val="center" w:pos="4536"/>
                <w:tab w:val="right" w:pos="9072"/>
              </w:tabs>
              <w:spacing w:line="320" w:lineRule="atLeast"/>
              <w:rPr>
                <w:sz w:val="22"/>
                <w:szCs w:val="22"/>
              </w:rPr>
            </w:pPr>
            <w:r w:rsidRPr="00FB029F">
              <w:rPr>
                <w:sz w:val="22"/>
                <w:szCs w:val="22"/>
              </w:rPr>
              <w:t>Der Kunde hebt Bargeld mit seiner Kreditkarte an fremden Geldautomaten in Fremdwährung (nicht in Euro) ab.</w:t>
            </w:r>
          </w:p>
          <w:p w:rsidR="00C8423F" w:rsidRPr="00FB029F" w:rsidRDefault="00C8423F" w:rsidP="005C3BD0">
            <w:pPr>
              <w:tabs>
                <w:tab w:val="center" w:pos="4536"/>
                <w:tab w:val="right" w:pos="9072"/>
              </w:tabs>
              <w:spacing w:line="320" w:lineRule="atLeast"/>
              <w:rPr>
                <w:sz w:val="22"/>
                <w:szCs w:val="22"/>
              </w:rPr>
            </w:pPr>
          </w:p>
          <w:p w:rsidR="00C8423F" w:rsidRPr="00FB029F" w:rsidRDefault="00C8423F" w:rsidP="005C3BD0">
            <w:pPr>
              <w:tabs>
                <w:tab w:val="center" w:pos="4536"/>
                <w:tab w:val="right" w:pos="9072"/>
              </w:tabs>
              <w:spacing w:line="320" w:lineRule="atLeast"/>
              <w:rPr>
                <w:sz w:val="22"/>
                <w:szCs w:val="22"/>
              </w:rPr>
            </w:pPr>
          </w:p>
        </w:tc>
      </w:tr>
      <w:tr w:rsidR="00C8423F" w:rsidRPr="00FB029F" w:rsidTr="00D95A51">
        <w:tc>
          <w:tcPr>
            <w:tcW w:w="3998" w:type="dxa"/>
          </w:tcPr>
          <w:p w:rsidR="00C8423F" w:rsidRPr="00FB029F" w:rsidRDefault="00C8423F" w:rsidP="00565E7A">
            <w:pPr>
              <w:tabs>
                <w:tab w:val="left" w:pos="3243"/>
              </w:tabs>
              <w:spacing w:line="320" w:lineRule="atLeast"/>
              <w:rPr>
                <w:sz w:val="22"/>
                <w:szCs w:val="22"/>
              </w:rPr>
            </w:pPr>
            <w:r w:rsidRPr="00FB029F">
              <w:rPr>
                <w:sz w:val="22"/>
                <w:szCs w:val="22"/>
              </w:rPr>
              <w:t xml:space="preserve">Einsatz der Debitkarte zum </w:t>
            </w:r>
            <w:r w:rsidRPr="00FB029F">
              <w:rPr>
                <w:sz w:val="22"/>
                <w:szCs w:val="22"/>
              </w:rPr>
              <w:br/>
              <w:t>Bezahlen in Fremdwährung</w:t>
            </w:r>
          </w:p>
        </w:tc>
        <w:tc>
          <w:tcPr>
            <w:tcW w:w="4253" w:type="dxa"/>
          </w:tcPr>
          <w:p w:rsidR="00C8423F" w:rsidRPr="00FB029F" w:rsidRDefault="00C8423F" w:rsidP="00093B99">
            <w:pPr>
              <w:tabs>
                <w:tab w:val="left" w:pos="709"/>
              </w:tabs>
              <w:spacing w:line="320" w:lineRule="atLeast"/>
              <w:rPr>
                <w:sz w:val="22"/>
                <w:szCs w:val="22"/>
              </w:rPr>
            </w:pPr>
            <w:r w:rsidRPr="00FB029F">
              <w:rPr>
                <w:sz w:val="22"/>
                <w:szCs w:val="22"/>
              </w:rPr>
              <w:t>Der Kunde bezahlt mit der Debitkarte an Terminals Waren oder Dienstleistungen in Fremdwährung (nicht in Euro).</w:t>
            </w:r>
            <w:r w:rsidRPr="00FB029F">
              <w:rPr>
                <w:sz w:val="22"/>
                <w:szCs w:val="22"/>
              </w:rPr>
              <w:br/>
            </w:r>
          </w:p>
        </w:tc>
      </w:tr>
      <w:tr w:rsidR="00C8423F" w:rsidRPr="00FB029F" w:rsidTr="009F4EC3">
        <w:tc>
          <w:tcPr>
            <w:tcW w:w="3998" w:type="dxa"/>
          </w:tcPr>
          <w:p w:rsidR="00C8423F" w:rsidRPr="00FB029F" w:rsidRDefault="00C8423F" w:rsidP="00565E7A">
            <w:pPr>
              <w:tabs>
                <w:tab w:val="left" w:pos="709"/>
              </w:tabs>
              <w:spacing w:line="320" w:lineRule="atLeast"/>
              <w:rPr>
                <w:sz w:val="22"/>
                <w:szCs w:val="22"/>
              </w:rPr>
            </w:pPr>
            <w:r w:rsidRPr="00FB029F">
              <w:rPr>
                <w:sz w:val="22"/>
                <w:szCs w:val="22"/>
              </w:rPr>
              <w:t>Einsatz der Kreditkarte zum Bezahlen in Fremdwährung</w:t>
            </w:r>
          </w:p>
        </w:tc>
        <w:tc>
          <w:tcPr>
            <w:tcW w:w="4253" w:type="dxa"/>
          </w:tcPr>
          <w:p w:rsidR="00C8423F" w:rsidRPr="00FB029F" w:rsidRDefault="00C8423F" w:rsidP="00565E7A">
            <w:pPr>
              <w:tabs>
                <w:tab w:val="left" w:pos="709"/>
              </w:tabs>
              <w:spacing w:line="320" w:lineRule="atLeast"/>
              <w:rPr>
                <w:sz w:val="22"/>
                <w:szCs w:val="22"/>
              </w:rPr>
            </w:pPr>
            <w:r w:rsidRPr="00FB029F">
              <w:rPr>
                <w:sz w:val="22"/>
                <w:szCs w:val="22"/>
              </w:rPr>
              <w:t>Der Kunde bezahlt mit seiner Kreditkarte Waren oder Dienstleistungen in Fremdwährung (nicht in Euro).</w:t>
            </w:r>
          </w:p>
          <w:p w:rsidR="00C8423F" w:rsidRPr="00FB029F" w:rsidRDefault="00C8423F" w:rsidP="00312F7B">
            <w:pPr>
              <w:tabs>
                <w:tab w:val="left" w:pos="709"/>
              </w:tabs>
              <w:spacing w:line="320" w:lineRule="atLeast"/>
              <w:jc w:val="right"/>
              <w:rPr>
                <w:sz w:val="22"/>
                <w:szCs w:val="22"/>
              </w:rPr>
            </w:pPr>
          </w:p>
        </w:tc>
      </w:tr>
      <w:tr w:rsidR="00FB029F" w:rsidRPr="00FB029F" w:rsidTr="00FB029F">
        <w:tc>
          <w:tcPr>
            <w:tcW w:w="8251" w:type="dxa"/>
            <w:gridSpan w:val="2"/>
            <w:shd w:val="clear" w:color="auto" w:fill="BFBFBF" w:themeFill="background1" w:themeFillShade="BF"/>
          </w:tcPr>
          <w:p w:rsidR="00FB029F" w:rsidRPr="00FB029F" w:rsidRDefault="00FB029F" w:rsidP="00565E7A">
            <w:pPr>
              <w:tabs>
                <w:tab w:val="left" w:pos="709"/>
              </w:tabs>
              <w:spacing w:line="320" w:lineRule="atLeast"/>
              <w:rPr>
                <w:b/>
                <w:sz w:val="22"/>
                <w:szCs w:val="22"/>
              </w:rPr>
            </w:pPr>
            <w:r w:rsidRPr="00FB029F">
              <w:rPr>
                <w:b/>
                <w:sz w:val="22"/>
                <w:szCs w:val="22"/>
              </w:rPr>
              <w:t>Überziehungen und damit verbundene Dienste</w:t>
            </w:r>
          </w:p>
          <w:p w:rsidR="00FB029F" w:rsidRPr="00FB029F" w:rsidRDefault="00FB029F" w:rsidP="00565E7A">
            <w:pPr>
              <w:tabs>
                <w:tab w:val="center" w:pos="4536"/>
                <w:tab w:val="right" w:pos="9072"/>
              </w:tabs>
              <w:spacing w:line="320" w:lineRule="atLeast"/>
              <w:rPr>
                <w:sz w:val="22"/>
                <w:szCs w:val="22"/>
              </w:rPr>
            </w:pPr>
          </w:p>
        </w:tc>
      </w:tr>
      <w:tr w:rsidR="00C8423F" w:rsidRPr="00FB029F" w:rsidTr="00E85C16">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Eingeräumte Kontoüberziehung</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center" w:pos="4536"/>
                <w:tab w:val="right" w:pos="9072"/>
              </w:tabs>
              <w:spacing w:line="320" w:lineRule="atLeast"/>
              <w:rPr>
                <w:sz w:val="22"/>
                <w:szCs w:val="22"/>
              </w:rPr>
            </w:pPr>
            <w:r w:rsidRPr="00FB029F">
              <w:rPr>
                <w:sz w:val="22"/>
                <w:szCs w:val="22"/>
              </w:rPr>
              <w:t>Der Kontoanbieter und der Kunde vereinbaren im Voraus, dass der Kunde sein Konto belasten kann, auch wenn kein Geld mehr auf dem Konto vorhanden ist. In der Vereinbarung wird festgelegt, bis zu welcher Höhe das Konto in diesem Fall maximal noch belastet werden kann und ob dem Kunden Entgelte und Zinsen berechnet werden.</w:t>
            </w:r>
          </w:p>
          <w:p w:rsidR="00C8423F" w:rsidRPr="00FB029F" w:rsidRDefault="00C8423F" w:rsidP="00565E7A">
            <w:pPr>
              <w:tabs>
                <w:tab w:val="center" w:pos="4536"/>
                <w:tab w:val="right" w:pos="9072"/>
              </w:tabs>
              <w:spacing w:line="320" w:lineRule="atLeast"/>
              <w:rPr>
                <w:sz w:val="22"/>
                <w:szCs w:val="22"/>
              </w:rPr>
            </w:pPr>
          </w:p>
        </w:tc>
      </w:tr>
      <w:tr w:rsidR="00C8423F" w:rsidRPr="00FB029F" w:rsidTr="00EA6DE7">
        <w:tc>
          <w:tcPr>
            <w:tcW w:w="3998"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highlight w:val="yellow"/>
              </w:rPr>
            </w:pPr>
            <w:r w:rsidRPr="00FB029F">
              <w:rPr>
                <w:sz w:val="22"/>
                <w:szCs w:val="22"/>
              </w:rPr>
              <w:t xml:space="preserve">Geduldete Kontoüberziehung </w:t>
            </w:r>
          </w:p>
        </w:tc>
        <w:tc>
          <w:tcPr>
            <w:tcW w:w="4253" w:type="dxa"/>
            <w:tcBorders>
              <w:top w:val="single" w:sz="4" w:space="0" w:color="auto"/>
              <w:left w:val="single" w:sz="4" w:space="0" w:color="auto"/>
              <w:bottom w:val="single" w:sz="4" w:space="0" w:color="auto"/>
              <w:right w:val="single" w:sz="4" w:space="0" w:color="auto"/>
            </w:tcBorders>
          </w:tcPr>
          <w:p w:rsidR="00C8423F" w:rsidRPr="00FB029F" w:rsidRDefault="00C8423F" w:rsidP="00565E7A">
            <w:pPr>
              <w:tabs>
                <w:tab w:val="left" w:pos="709"/>
              </w:tabs>
              <w:spacing w:line="320" w:lineRule="atLeast"/>
              <w:rPr>
                <w:sz w:val="22"/>
                <w:szCs w:val="22"/>
              </w:rPr>
            </w:pPr>
            <w:r w:rsidRPr="00FB029F">
              <w:rPr>
                <w:sz w:val="22"/>
                <w:szCs w:val="22"/>
              </w:rPr>
              <w:t xml:space="preserve">Der Kunde überschreitet mit einer Verfügung sein Guthaben bzw. die ihm eingeräumte Kontoüberziehung. Die Verfügung wird trotzdem ausgeführt und das Zahlungskonto entsprechend belastet </w:t>
            </w:r>
          </w:p>
          <w:p w:rsidR="00C8423F" w:rsidRPr="00FB029F" w:rsidRDefault="00C8423F" w:rsidP="00565E7A">
            <w:pPr>
              <w:tabs>
                <w:tab w:val="left" w:pos="709"/>
              </w:tabs>
              <w:spacing w:line="320" w:lineRule="atLeast"/>
              <w:rPr>
                <w:sz w:val="22"/>
                <w:szCs w:val="22"/>
              </w:rPr>
            </w:pPr>
          </w:p>
        </w:tc>
      </w:tr>
    </w:tbl>
    <w:p w:rsidR="005E6B14" w:rsidRDefault="005E6B14" w:rsidP="005E6B14">
      <w:pPr>
        <w:pStyle w:val="Textkrper"/>
        <w:ind w:left="720"/>
        <w:rPr>
          <w:rFonts w:cs="TimesNewRomanPSMT"/>
          <w:kern w:val="0"/>
        </w:rPr>
      </w:pPr>
    </w:p>
    <w:p w:rsidR="00843664" w:rsidRDefault="00843664"/>
    <w:sectPr w:rsidR="0084366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6D" w:rsidRDefault="001D776D" w:rsidP="00246E7A">
      <w:pPr>
        <w:spacing w:line="240" w:lineRule="auto"/>
      </w:pPr>
      <w:r>
        <w:separator/>
      </w:r>
    </w:p>
  </w:endnote>
  <w:endnote w:type="continuationSeparator" w:id="0">
    <w:p w:rsidR="001D776D" w:rsidRDefault="001D776D" w:rsidP="00246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893643"/>
      <w:docPartObj>
        <w:docPartGallery w:val="Page Numbers (Bottom of Page)"/>
        <w:docPartUnique/>
      </w:docPartObj>
    </w:sdtPr>
    <w:sdtEndPr/>
    <w:sdtContent>
      <w:p w:rsidR="00FB029F" w:rsidRDefault="00FB029F">
        <w:pPr>
          <w:pStyle w:val="Fuzeile"/>
          <w:jc w:val="right"/>
        </w:pPr>
        <w:r>
          <w:fldChar w:fldCharType="begin"/>
        </w:r>
        <w:r>
          <w:instrText>PAGE   \* MERGEFORMAT</w:instrText>
        </w:r>
        <w:r>
          <w:fldChar w:fldCharType="separate"/>
        </w:r>
        <w:r w:rsidR="004A21AC">
          <w:rPr>
            <w:noProof/>
          </w:rPr>
          <w:t>1</w:t>
        </w:r>
        <w:r>
          <w:fldChar w:fldCharType="end"/>
        </w:r>
      </w:p>
    </w:sdtContent>
  </w:sdt>
  <w:p w:rsidR="00312F7B" w:rsidRDefault="00312F7B" w:rsidP="00312F7B">
    <w:pPr>
      <w:pStyle w:val="Fuzeile"/>
    </w:pPr>
    <w:r>
      <w:t>Muster nach § 47 Abs. 2 ZKG, Stand: 2</w:t>
    </w:r>
    <w:r w:rsidR="005D7C71">
      <w:t>4</w:t>
    </w:r>
    <w:r>
      <w:t>.05.2018</w:t>
    </w:r>
  </w:p>
  <w:p w:rsidR="00FB029F" w:rsidRDefault="00FB029F" w:rsidP="00312F7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6D" w:rsidRDefault="001D776D" w:rsidP="00246E7A">
      <w:pPr>
        <w:spacing w:line="240" w:lineRule="auto"/>
      </w:pPr>
      <w:r>
        <w:separator/>
      </w:r>
    </w:p>
  </w:footnote>
  <w:footnote w:type="continuationSeparator" w:id="0">
    <w:p w:rsidR="001D776D" w:rsidRDefault="001D776D" w:rsidP="00246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7A" w:rsidRDefault="004A21AC" w:rsidP="00FB029F">
    <w:pPr>
      <w:pStyle w:val="Kopfzeile"/>
      <w:jc w:val="right"/>
    </w:pPr>
    <w:sdt>
      <w:sdtPr>
        <w:id w:val="969789510"/>
        <w:docPartObj>
          <w:docPartGallery w:val="Watermarks"/>
          <w:docPartUnique/>
        </w:docPartObj>
      </w:sdtPr>
      <w:sdtEndPr/>
      <w:sdtContent>
        <w:r>
          <w:pict w14:anchorId="1A184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035" o:spid="_x0000_s2049" type="#_x0000_t136" style="position:absolute;left:0;text-align:left;margin-left:0;margin-top:0;width:598.2pt;height:41.25pt;rotation:315;z-index:-251658752;mso-position-horizontal:center;mso-position-horizontal-relative:margin;mso-position-vertical:center;mso-position-vertical-relative:margin" o:allowincell="f" fillcolor="silver" stroked="f">
              <v:fill opacity=".5"/>
              <v:textpath style="font-family:&quot;Arial&quot;;font-size:1pt" string="Muster nach § 47 Abs. 2 ZKG"/>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5E80"/>
    <w:multiLevelType w:val="hybridMultilevel"/>
    <w:tmpl w:val="0914960A"/>
    <w:lvl w:ilvl="0" w:tplc="6712B4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14"/>
    <w:rsid w:val="00093B99"/>
    <w:rsid w:val="000A1DFB"/>
    <w:rsid w:val="000D6FFD"/>
    <w:rsid w:val="000E5F7D"/>
    <w:rsid w:val="00104AB2"/>
    <w:rsid w:val="00162C98"/>
    <w:rsid w:val="00166610"/>
    <w:rsid w:val="001D776D"/>
    <w:rsid w:val="001E4AA5"/>
    <w:rsid w:val="001F31D5"/>
    <w:rsid w:val="0024670E"/>
    <w:rsid w:val="00246E7A"/>
    <w:rsid w:val="0025695F"/>
    <w:rsid w:val="0028072E"/>
    <w:rsid w:val="002E5915"/>
    <w:rsid w:val="002F793F"/>
    <w:rsid w:val="0031141D"/>
    <w:rsid w:val="00312F7B"/>
    <w:rsid w:val="00342639"/>
    <w:rsid w:val="003462E4"/>
    <w:rsid w:val="00346F33"/>
    <w:rsid w:val="00382B2F"/>
    <w:rsid w:val="00414327"/>
    <w:rsid w:val="0042602E"/>
    <w:rsid w:val="0048277D"/>
    <w:rsid w:val="004A21AC"/>
    <w:rsid w:val="004A73FD"/>
    <w:rsid w:val="00567C6C"/>
    <w:rsid w:val="005825D4"/>
    <w:rsid w:val="00585443"/>
    <w:rsid w:val="00593364"/>
    <w:rsid w:val="005C1D09"/>
    <w:rsid w:val="005C2202"/>
    <w:rsid w:val="005C4070"/>
    <w:rsid w:val="005D7C71"/>
    <w:rsid w:val="005E6B14"/>
    <w:rsid w:val="005F43F9"/>
    <w:rsid w:val="006640BF"/>
    <w:rsid w:val="006761FA"/>
    <w:rsid w:val="00676265"/>
    <w:rsid w:val="00676474"/>
    <w:rsid w:val="00702B87"/>
    <w:rsid w:val="00716BFD"/>
    <w:rsid w:val="00785F35"/>
    <w:rsid w:val="00795D0F"/>
    <w:rsid w:val="007C321E"/>
    <w:rsid w:val="007D2BC3"/>
    <w:rsid w:val="007F7023"/>
    <w:rsid w:val="00810A82"/>
    <w:rsid w:val="00843664"/>
    <w:rsid w:val="00867864"/>
    <w:rsid w:val="0087473C"/>
    <w:rsid w:val="008B6CEC"/>
    <w:rsid w:val="008D73B4"/>
    <w:rsid w:val="008F7CA7"/>
    <w:rsid w:val="009049B2"/>
    <w:rsid w:val="0095124C"/>
    <w:rsid w:val="009B7164"/>
    <w:rsid w:val="009E6454"/>
    <w:rsid w:val="00A11C2D"/>
    <w:rsid w:val="00A44C5E"/>
    <w:rsid w:val="00AA5394"/>
    <w:rsid w:val="00AC5EA8"/>
    <w:rsid w:val="00AD50C6"/>
    <w:rsid w:val="00AD50CE"/>
    <w:rsid w:val="00AE01B8"/>
    <w:rsid w:val="00AE3061"/>
    <w:rsid w:val="00AF3972"/>
    <w:rsid w:val="00B02611"/>
    <w:rsid w:val="00B32F0A"/>
    <w:rsid w:val="00B51F7A"/>
    <w:rsid w:val="00BD5239"/>
    <w:rsid w:val="00BE2C2C"/>
    <w:rsid w:val="00C62339"/>
    <w:rsid w:val="00C6436E"/>
    <w:rsid w:val="00C8423F"/>
    <w:rsid w:val="00CD4851"/>
    <w:rsid w:val="00CF2E8D"/>
    <w:rsid w:val="00CF7887"/>
    <w:rsid w:val="00D84C28"/>
    <w:rsid w:val="00E218CC"/>
    <w:rsid w:val="00E232CA"/>
    <w:rsid w:val="00E420BA"/>
    <w:rsid w:val="00E70704"/>
    <w:rsid w:val="00E847A2"/>
    <w:rsid w:val="00EC7DEB"/>
    <w:rsid w:val="00F05444"/>
    <w:rsid w:val="00FB0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C15F3"/>
  <w15:chartTrackingRefBased/>
  <w15:docId w15:val="{B4E04926-4E28-459A-AAB3-A394793D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02E"/>
    <w:pPr>
      <w:spacing w:after="0" w:line="260" w:lineRule="atLeast"/>
    </w:pPr>
    <w:rPr>
      <w:rFonts w:ascii="Verdana" w:eastAsia="Times" w:hAnsi="Verdana" w:cs="Times New Roman"/>
      <w:kern w:val="1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5E6B14"/>
    <w:pPr>
      <w:spacing w:after="260"/>
    </w:pPr>
  </w:style>
  <w:style w:type="character" w:customStyle="1" w:styleId="TextkrperZchn">
    <w:name w:val="Textkörper Zchn"/>
    <w:basedOn w:val="Absatz-Standardschriftart"/>
    <w:link w:val="Textkrper"/>
    <w:rsid w:val="005E6B14"/>
    <w:rPr>
      <w:rFonts w:ascii="Verdana" w:eastAsia="Times" w:hAnsi="Verdana" w:cs="Times New Roman"/>
      <w:kern w:val="10"/>
      <w:sz w:val="20"/>
      <w:szCs w:val="20"/>
      <w:lang w:eastAsia="de-DE"/>
    </w:rPr>
  </w:style>
  <w:style w:type="paragraph" w:styleId="Kopfzeile">
    <w:name w:val="header"/>
    <w:basedOn w:val="Standard"/>
    <w:link w:val="KopfzeileZchn"/>
    <w:uiPriority w:val="99"/>
    <w:unhideWhenUsed/>
    <w:rsid w:val="00246E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46E7A"/>
    <w:rPr>
      <w:rFonts w:ascii="Verdana" w:eastAsia="Times" w:hAnsi="Verdana" w:cs="Times New Roman"/>
      <w:kern w:val="10"/>
      <w:sz w:val="20"/>
      <w:szCs w:val="20"/>
      <w:lang w:eastAsia="de-DE"/>
    </w:rPr>
  </w:style>
  <w:style w:type="paragraph" w:styleId="Fuzeile">
    <w:name w:val="footer"/>
    <w:basedOn w:val="Standard"/>
    <w:link w:val="FuzeileZchn"/>
    <w:uiPriority w:val="99"/>
    <w:unhideWhenUsed/>
    <w:rsid w:val="00246E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6E7A"/>
    <w:rPr>
      <w:rFonts w:ascii="Verdana" w:eastAsia="Times" w:hAnsi="Verdana" w:cs="Times New Roman"/>
      <w:kern w:val="10"/>
      <w:sz w:val="20"/>
      <w:szCs w:val="20"/>
      <w:lang w:eastAsia="de-DE"/>
    </w:rPr>
  </w:style>
  <w:style w:type="character" w:styleId="Kommentarzeichen">
    <w:name w:val="annotation reference"/>
    <w:basedOn w:val="Absatz-Standardschriftart"/>
    <w:uiPriority w:val="99"/>
    <w:semiHidden/>
    <w:unhideWhenUsed/>
    <w:rsid w:val="000E5F7D"/>
    <w:rPr>
      <w:sz w:val="16"/>
      <w:szCs w:val="16"/>
    </w:rPr>
  </w:style>
  <w:style w:type="paragraph" w:styleId="Kommentartext">
    <w:name w:val="annotation text"/>
    <w:basedOn w:val="Standard"/>
    <w:link w:val="KommentartextZchn"/>
    <w:uiPriority w:val="99"/>
    <w:semiHidden/>
    <w:unhideWhenUsed/>
    <w:rsid w:val="000E5F7D"/>
    <w:pPr>
      <w:spacing w:line="240" w:lineRule="auto"/>
    </w:pPr>
  </w:style>
  <w:style w:type="character" w:customStyle="1" w:styleId="KommentartextZchn">
    <w:name w:val="Kommentartext Zchn"/>
    <w:basedOn w:val="Absatz-Standardschriftart"/>
    <w:link w:val="Kommentartext"/>
    <w:uiPriority w:val="99"/>
    <w:semiHidden/>
    <w:rsid w:val="000E5F7D"/>
    <w:rPr>
      <w:rFonts w:ascii="Verdana" w:eastAsia="Times" w:hAnsi="Verdana" w:cs="Times New Roman"/>
      <w:kern w:val="10"/>
      <w:sz w:val="20"/>
      <w:szCs w:val="20"/>
      <w:lang w:eastAsia="de-DE"/>
    </w:rPr>
  </w:style>
  <w:style w:type="paragraph" w:styleId="Kommentarthema">
    <w:name w:val="annotation subject"/>
    <w:basedOn w:val="Kommentartext"/>
    <w:next w:val="Kommentartext"/>
    <w:link w:val="KommentarthemaZchn"/>
    <w:uiPriority w:val="99"/>
    <w:semiHidden/>
    <w:unhideWhenUsed/>
    <w:rsid w:val="000E5F7D"/>
    <w:rPr>
      <w:b/>
      <w:bCs/>
    </w:rPr>
  </w:style>
  <w:style w:type="character" w:customStyle="1" w:styleId="KommentarthemaZchn">
    <w:name w:val="Kommentarthema Zchn"/>
    <w:basedOn w:val="KommentartextZchn"/>
    <w:link w:val="Kommentarthema"/>
    <w:uiPriority w:val="99"/>
    <w:semiHidden/>
    <w:rsid w:val="000E5F7D"/>
    <w:rPr>
      <w:rFonts w:ascii="Verdana" w:eastAsia="Times" w:hAnsi="Verdana" w:cs="Times New Roman"/>
      <w:b/>
      <w:bCs/>
      <w:kern w:val="10"/>
      <w:sz w:val="20"/>
      <w:szCs w:val="20"/>
      <w:lang w:eastAsia="de-DE"/>
    </w:rPr>
  </w:style>
  <w:style w:type="paragraph" w:styleId="Sprechblasentext">
    <w:name w:val="Balloon Text"/>
    <w:basedOn w:val="Standard"/>
    <w:link w:val="SprechblasentextZchn"/>
    <w:uiPriority w:val="99"/>
    <w:semiHidden/>
    <w:unhideWhenUsed/>
    <w:rsid w:val="000E5F7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7D"/>
    <w:rPr>
      <w:rFonts w:ascii="Segoe UI" w:eastAsia="Times" w:hAnsi="Segoe UI" w:cs="Segoe UI"/>
      <w:kern w:val="1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A96B-8D9B-466B-A560-B9E92D3B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Deppmeyer, Silke</dc:creator>
  <cp:keywords/>
  <dc:description/>
  <cp:lastModifiedBy>Al-Souliman, Luana</cp:lastModifiedBy>
  <cp:revision>4</cp:revision>
  <cp:lastPrinted>2018-02-19T16:17:00Z</cp:lastPrinted>
  <dcterms:created xsi:type="dcterms:W3CDTF">2018-05-23T07:38:00Z</dcterms:created>
  <dcterms:modified xsi:type="dcterms:W3CDTF">2018-05-24T15:04:00Z</dcterms:modified>
</cp:coreProperties>
</file>