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C580" w14:textId="77777777" w:rsidR="007D3CC6" w:rsidRDefault="007D3CC6" w:rsidP="007D3CC6">
      <w:pPr>
        <w:jc w:val="center"/>
        <w:rPr>
          <w:b/>
        </w:rPr>
      </w:pPr>
      <w:bookmarkStart w:id="0" w:name="_GoBack"/>
      <w:bookmarkEnd w:id="0"/>
      <w:r>
        <w:rPr>
          <w:b/>
        </w:rPr>
        <w:t>Notification pursuant to section 77 (2) sentence 1 of the Securities Trading Act (</w:t>
      </w:r>
      <w:r>
        <w:rPr>
          <w:b/>
          <w:i/>
        </w:rPr>
        <w:t>Wertpapierhandelsgesetz</w:t>
      </w:r>
      <w:r>
        <w:rPr>
          <w:b/>
        </w:rPr>
        <w:t xml:space="preserve"> – WpHG)</w:t>
      </w:r>
    </w:p>
    <w:p w14:paraId="283C7DD8" w14:textId="46B41FFA" w:rsidR="007D3CC6" w:rsidRDefault="00BA0138" w:rsidP="007D3CC6">
      <w:pPr>
        <w:jc w:val="center"/>
      </w:pPr>
      <w:r>
        <w:rPr>
          <w:b/>
        </w:rPr>
        <w:t>(</w:t>
      </w:r>
      <w:r w:rsidR="00175562">
        <w:rPr>
          <w:b/>
        </w:rPr>
        <w:t xml:space="preserve">third </w:t>
      </w:r>
      <w:r w:rsidR="00D45171">
        <w:rPr>
          <w:b/>
        </w:rPr>
        <w:t>s</w:t>
      </w:r>
      <w:r w:rsidR="00194458">
        <w:rPr>
          <w:b/>
        </w:rPr>
        <w:t xml:space="preserve">ubparagraph of </w:t>
      </w:r>
      <w:r>
        <w:rPr>
          <w:b/>
        </w:rPr>
        <w:t>A</w:t>
      </w:r>
      <w:r w:rsidR="007D3CC6">
        <w:rPr>
          <w:b/>
        </w:rPr>
        <w:t xml:space="preserve">rticle 17(5) of Directive 2014/65/EU) </w:t>
      </w:r>
    </w:p>
    <w:p w14:paraId="33B47FBE" w14:textId="77777777" w:rsidR="007D3CC6" w:rsidRPr="00BF7F1C" w:rsidRDefault="007D3CC6" w:rsidP="007D3CC6">
      <w:pPr>
        <w:jc w:val="center"/>
        <w:rPr>
          <w:sz w:val="16"/>
          <w:szCs w:val="16"/>
        </w:rPr>
      </w:pPr>
      <w:r>
        <w:rPr>
          <w:sz w:val="16"/>
        </w:rPr>
        <w:t xml:space="preserve">regarding offering </w:t>
      </w:r>
      <w:r>
        <w:rPr>
          <w:b/>
          <w:sz w:val="16"/>
        </w:rPr>
        <w:t>direct electronic access</w:t>
      </w:r>
      <w:r>
        <w:rPr>
          <w:sz w:val="16"/>
        </w:rPr>
        <w:t xml:space="preserve"> pursuant to section 2 (30) of the WpHG </w:t>
      </w:r>
    </w:p>
    <w:p w14:paraId="2E955F4F" w14:textId="77777777" w:rsidR="007D3CC6" w:rsidRPr="00BF7F1C" w:rsidRDefault="007D3CC6" w:rsidP="007D3CC6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</w:rPr>
        <w:t>(All requested details are mandatory unless otherwise stated.)</w:t>
      </w:r>
    </w:p>
    <w:p w14:paraId="337637E3" w14:textId="77777777" w:rsidR="007D3CC6" w:rsidRDefault="007D3CC6" w:rsidP="007D3CC6">
      <w:pPr>
        <w:rPr>
          <w:sz w:val="16"/>
          <w:szCs w:val="16"/>
        </w:rPr>
      </w:pPr>
      <w:r>
        <w:rPr>
          <w:noProof/>
          <w:sz w:val="16"/>
          <w:szCs w:val="16"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2D66D" wp14:editId="6258DE26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360930" cy="1404620"/>
                <wp:effectExtent l="0" t="0" r="19685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DCC0" w14:textId="77777777" w:rsidR="007D3CC6" w:rsidRDefault="007D3CC6" w:rsidP="007D3CC6">
                            <w:r>
                              <w:t>Received on:</w:t>
                            </w:r>
                          </w:p>
                          <w:p w14:paraId="1BC48D8A" w14:textId="77777777" w:rsidR="007D3CC6" w:rsidRDefault="007D3CC6" w:rsidP="007D3CC6"/>
                          <w:p w14:paraId="5E76AE2A" w14:textId="77777777" w:rsidR="007D3CC6" w:rsidRPr="00664B58" w:rsidRDefault="007D3CC6" w:rsidP="007D3CC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(to be completed by BaFin)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5A24FA4E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feld 2" o:spid="_x0000_s1026" type="#_x0000_t202" style="position:absolute;margin-left:0;margin-top:10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">
                <v:textbox style="mso-fit-shape-to-text:t">
                  <w:txbxContent>
                    <w:p w:rsidR="007D3CC6" w:rsidRDefault="007D3CC6" w:rsidP="007D3CC6">
                      <w:r>
                        <w:t>Received on:</w:t>
                      </w:r>
                    </w:p>
                    <w:p w:rsidR="007D3CC6" w:rsidRDefault="007D3CC6" w:rsidP="007D3CC6"/>
                    <w:proofErr w:type="gramStart"/>
                    <w:proofErr w:type="gramEnd"/>
                    <w:p w:rsidR="007D3CC6" w:rsidRPr="00664B58" w:rsidRDefault="007D3CC6" w:rsidP="007D3CC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(to be completed by BaFin)                                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14:paraId="594ABF4D" w14:textId="77777777" w:rsidR="007D3CC6" w:rsidRDefault="007D3CC6" w:rsidP="007D3CC6">
      <w:pPr>
        <w:rPr>
          <w:sz w:val="16"/>
          <w:szCs w:val="16"/>
        </w:rPr>
      </w:pPr>
    </w:p>
    <w:p w14:paraId="2399E3E3" w14:textId="77777777" w:rsidR="007D3CC6" w:rsidRDefault="007D3CC6" w:rsidP="007D3CC6">
      <w:pPr>
        <w:rPr>
          <w:sz w:val="16"/>
          <w:szCs w:val="16"/>
        </w:rPr>
      </w:pPr>
    </w:p>
    <w:p w14:paraId="61C8390E" w14:textId="77777777" w:rsidR="007D3CC6" w:rsidRDefault="007D3CC6" w:rsidP="007D3CC6">
      <w:pPr>
        <w:rPr>
          <w:sz w:val="16"/>
          <w:szCs w:val="16"/>
        </w:rPr>
      </w:pPr>
    </w:p>
    <w:p w14:paraId="5941B3C3" w14:textId="77777777" w:rsidR="007D3CC6" w:rsidRDefault="007D3CC6" w:rsidP="007D3CC6">
      <w:pPr>
        <w:rPr>
          <w:sz w:val="16"/>
          <w:szCs w:val="16"/>
        </w:rPr>
      </w:pPr>
    </w:p>
    <w:p w14:paraId="489A2C56" w14:textId="073B9623" w:rsidR="007D3CC6" w:rsidRDefault="007D3CC6" w:rsidP="007D3CC6">
      <w:r>
        <w:rPr>
          <w:b/>
        </w:rPr>
        <w:t xml:space="preserve">Details of the </w:t>
      </w:r>
      <w:r w:rsidR="00D45171">
        <w:rPr>
          <w:b/>
        </w:rPr>
        <w:t xml:space="preserve">party </w:t>
      </w:r>
      <w:r>
        <w:rPr>
          <w:b/>
        </w:rPr>
        <w:t xml:space="preserve">subject to the notification requirement </w:t>
      </w:r>
    </w:p>
    <w:p w14:paraId="5DA3B9AE" w14:textId="77777777" w:rsidR="007D3CC6" w:rsidRDefault="007D3CC6" w:rsidP="007D3C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D3CC6" w14:paraId="4C9F76AA" w14:textId="77777777" w:rsidTr="00EF09CF">
        <w:tc>
          <w:tcPr>
            <w:tcW w:w="2547" w:type="dxa"/>
          </w:tcPr>
          <w:p w14:paraId="6D172B44" w14:textId="2EC9E7F5" w:rsidR="007D3CC6" w:rsidRDefault="007D3CC6" w:rsidP="00EF09CF">
            <w:r>
              <w:t xml:space="preserve">Name of the </w:t>
            </w:r>
            <w:r w:rsidR="00D45171">
              <w:t xml:space="preserve">party </w:t>
            </w:r>
            <w:r>
              <w:t xml:space="preserve">subject to the notification requirement </w:t>
            </w:r>
          </w:p>
          <w:p w14:paraId="2CE3AE7D" w14:textId="77777777" w:rsidR="007D3CC6" w:rsidRDefault="007D3CC6" w:rsidP="00EF09CF"/>
        </w:tc>
        <w:tc>
          <w:tcPr>
            <w:tcW w:w="6515" w:type="dxa"/>
          </w:tcPr>
          <w:p w14:paraId="35A9C2B5" w14:textId="77777777" w:rsidR="007D3CC6" w:rsidRDefault="007D3CC6" w:rsidP="00EF09CF"/>
        </w:tc>
      </w:tr>
      <w:tr w:rsidR="007D3CC6" w14:paraId="278E4FE4" w14:textId="77777777" w:rsidTr="00EF09CF">
        <w:tc>
          <w:tcPr>
            <w:tcW w:w="2547" w:type="dxa"/>
          </w:tcPr>
          <w:p w14:paraId="1C983A97" w14:textId="77777777" w:rsidR="007D3CC6" w:rsidRDefault="007D3CC6" w:rsidP="00EF09CF">
            <w:r>
              <w:t>Business address</w:t>
            </w:r>
          </w:p>
          <w:p w14:paraId="170C7CBD" w14:textId="77777777" w:rsidR="007D3CC6" w:rsidRDefault="007D3CC6" w:rsidP="00EF09CF"/>
          <w:p w14:paraId="551A15E2" w14:textId="77777777" w:rsidR="007D3CC6" w:rsidRDefault="007D3CC6" w:rsidP="00EF09CF"/>
        </w:tc>
        <w:tc>
          <w:tcPr>
            <w:tcW w:w="6515" w:type="dxa"/>
          </w:tcPr>
          <w:p w14:paraId="64C653EB" w14:textId="77777777" w:rsidR="007D3CC6" w:rsidRDefault="007D3CC6" w:rsidP="00EF09CF"/>
        </w:tc>
      </w:tr>
      <w:tr w:rsidR="007D3CC6" w14:paraId="363C48EF" w14:textId="77777777" w:rsidTr="00EF09CF">
        <w:tc>
          <w:tcPr>
            <w:tcW w:w="2547" w:type="dxa"/>
          </w:tcPr>
          <w:p w14:paraId="199B986D" w14:textId="77777777" w:rsidR="007D3CC6" w:rsidRDefault="007D3CC6" w:rsidP="00EF09CF">
            <w:r>
              <w:t>LEI</w:t>
            </w:r>
          </w:p>
          <w:p w14:paraId="013342BA" w14:textId="77777777" w:rsidR="007D3CC6" w:rsidRDefault="007D3CC6" w:rsidP="00EF09CF"/>
          <w:p w14:paraId="269384BB" w14:textId="77777777" w:rsidR="007D3CC6" w:rsidRDefault="007D3CC6" w:rsidP="00EF09CF"/>
        </w:tc>
        <w:tc>
          <w:tcPr>
            <w:tcW w:w="6515" w:type="dxa"/>
          </w:tcPr>
          <w:p w14:paraId="0457C564" w14:textId="77777777" w:rsidR="007D3CC6" w:rsidRDefault="007D3CC6" w:rsidP="00EF09CF"/>
        </w:tc>
      </w:tr>
      <w:tr w:rsidR="007D3CC6" w14:paraId="1DBCBF2B" w14:textId="77777777" w:rsidTr="00EF09CF">
        <w:tc>
          <w:tcPr>
            <w:tcW w:w="2547" w:type="dxa"/>
            <w:vMerge w:val="restart"/>
            <w:shd w:val="clear" w:color="auto" w:fill="auto"/>
          </w:tcPr>
          <w:p w14:paraId="41C6D27A" w14:textId="77777777" w:rsidR="007D3CC6" w:rsidRPr="003E3D4C" w:rsidRDefault="007D3CC6" w:rsidP="00EF09CF">
            <w:pPr>
              <w:rPr>
                <w:highlight w:val="yellow"/>
              </w:rPr>
            </w:pPr>
            <w:r>
              <w:t xml:space="preserve">Contact person for queries </w:t>
            </w:r>
          </w:p>
        </w:tc>
        <w:tc>
          <w:tcPr>
            <w:tcW w:w="6515" w:type="dxa"/>
          </w:tcPr>
          <w:p w14:paraId="038565CB" w14:textId="77777777" w:rsidR="007D3CC6" w:rsidRDefault="007D3CC6" w:rsidP="00EF09CF">
            <w:r>
              <w:t xml:space="preserve">Surname, first name </w:t>
            </w:r>
          </w:p>
          <w:p w14:paraId="2F9EDD8F" w14:textId="77777777" w:rsidR="007D3CC6" w:rsidRDefault="007D3CC6" w:rsidP="00EF09CF"/>
          <w:p w14:paraId="7CA6955B" w14:textId="77777777" w:rsidR="007D3CC6" w:rsidRDefault="007D3CC6" w:rsidP="00EF09CF"/>
        </w:tc>
      </w:tr>
      <w:tr w:rsidR="007D3CC6" w14:paraId="15CFA06B" w14:textId="77777777" w:rsidTr="00EF09CF">
        <w:tc>
          <w:tcPr>
            <w:tcW w:w="2547" w:type="dxa"/>
            <w:vMerge/>
          </w:tcPr>
          <w:p w14:paraId="6CFE98E1" w14:textId="77777777" w:rsidR="007D3CC6" w:rsidRPr="003E3D4C" w:rsidRDefault="007D3CC6" w:rsidP="00EF09CF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14:paraId="7E3BDBC8" w14:textId="77777777" w:rsidR="007D3CC6" w:rsidRDefault="007D3CC6" w:rsidP="00EF09CF">
            <w:r>
              <w:t xml:space="preserve">E-mail, telephone number </w:t>
            </w:r>
          </w:p>
          <w:p w14:paraId="596B8529" w14:textId="77777777" w:rsidR="007D3CC6" w:rsidRDefault="007D3CC6" w:rsidP="00EF09CF"/>
          <w:p w14:paraId="0CE05954" w14:textId="77777777" w:rsidR="007D3CC6" w:rsidRDefault="007D3CC6" w:rsidP="00EF09CF"/>
        </w:tc>
      </w:tr>
    </w:tbl>
    <w:p w14:paraId="5949E57D" w14:textId="77777777" w:rsidR="007D3CC6" w:rsidRDefault="007D3CC6" w:rsidP="007D3CC6"/>
    <w:p w14:paraId="02F5C43B" w14:textId="77777777" w:rsidR="007D3CC6" w:rsidRPr="004222C5" w:rsidRDefault="007D3CC6" w:rsidP="007D3CC6">
      <w:pPr>
        <w:rPr>
          <w:b/>
        </w:rPr>
      </w:pPr>
      <w:r>
        <w:rPr>
          <w:b/>
        </w:rPr>
        <w:t>Notification</w:t>
      </w:r>
    </w:p>
    <w:p w14:paraId="2975BA6A" w14:textId="77777777" w:rsidR="007D3CC6" w:rsidRDefault="007D3CC6" w:rsidP="007D3CC6"/>
    <w:p w14:paraId="247D4A15" w14:textId="77777777" w:rsidR="007D3CC6" w:rsidRPr="00AE3AC3" w:rsidRDefault="007D3CC6" w:rsidP="007D3CC6">
      <w:pPr>
        <w:rPr>
          <w:color w:val="FF0000"/>
        </w:rPr>
      </w:pPr>
      <w:r>
        <w:t xml:space="preserve">Notification is given that direct electronic access pursuant to section 2 (30) of the WpHG  </w:t>
      </w:r>
    </w:p>
    <w:p w14:paraId="758FBC60" w14:textId="77777777" w:rsidR="007D3CC6" w:rsidRDefault="007D3CC6" w:rsidP="007D3CC6"/>
    <w:p w14:paraId="263AAA49" w14:textId="77777777" w:rsidR="007D3CC6" w:rsidRDefault="007D3CC6" w:rsidP="007D3CC6">
      <w:r>
        <w:t xml:space="preserve">(1) </w:t>
      </w:r>
      <w:sdt>
        <w:sdtPr>
          <w:id w:val="-14004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being offered to the trading venues listed below. </w:t>
      </w:r>
    </w:p>
    <w:p w14:paraId="33A36C4A" w14:textId="77777777" w:rsidR="007D3CC6" w:rsidRDefault="007D3CC6" w:rsidP="007D3CC6">
      <w:r>
        <w:t xml:space="preserve">(2) </w:t>
      </w:r>
      <w:sdt>
        <w:sdtPr>
          <w:id w:val="-5484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no longer being offered. </w:t>
      </w:r>
    </w:p>
    <w:p w14:paraId="1F7E2E73" w14:textId="77777777" w:rsidR="007D3CC6" w:rsidRDefault="007D3CC6" w:rsidP="007D3CC6"/>
    <w:p w14:paraId="46C8A3E7" w14:textId="7CBC9DD8" w:rsidR="007D3CC6" w:rsidRDefault="007D3CC6" w:rsidP="007D3CC6">
      <w:pPr>
        <w:rPr>
          <w:color w:val="FF0000"/>
        </w:rPr>
      </w:pPr>
      <w:r>
        <w:t xml:space="preserve">Sub-delegation within the meaning of </w:t>
      </w:r>
      <w:r w:rsidR="00D45171">
        <w:t>A</w:t>
      </w:r>
      <w:r>
        <w:t xml:space="preserve">rticle 21(4) of Delegated Regulation 2017/589/EU </w:t>
      </w:r>
      <w:r>
        <w:rPr>
          <w:color w:val="FF0000"/>
        </w:rPr>
        <w:t xml:space="preserve">(optional) </w:t>
      </w:r>
    </w:p>
    <w:p w14:paraId="1A44C29E" w14:textId="77777777" w:rsidR="007D3CC6" w:rsidRDefault="007D3CC6" w:rsidP="007D3CC6"/>
    <w:p w14:paraId="5AEAD7E0" w14:textId="77777777" w:rsidR="007D3CC6" w:rsidRDefault="007D3CC6" w:rsidP="007D3CC6">
      <w:pPr>
        <w:rPr>
          <w:color w:val="FF0000"/>
        </w:rPr>
      </w:pPr>
      <w:r>
        <w:t xml:space="preserve">(3) </w:t>
      </w:r>
      <w:sdt>
        <w:sdtPr>
          <w:id w:val="21362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being provided. </w:t>
      </w:r>
    </w:p>
    <w:p w14:paraId="7E689A37" w14:textId="77777777" w:rsidR="007D3CC6" w:rsidRPr="00B97DDC" w:rsidRDefault="007D3CC6" w:rsidP="007D3CC6">
      <w:pPr>
        <w:rPr>
          <w:color w:val="FF0000"/>
        </w:rPr>
      </w:pPr>
      <w:r>
        <w:t xml:space="preserve">(4) </w:t>
      </w:r>
      <w:sdt>
        <w:sdtPr>
          <w:id w:val="-12382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no longer being provided. </w:t>
      </w:r>
    </w:p>
    <w:p w14:paraId="0DF13B20" w14:textId="77777777" w:rsidR="007D3CC6" w:rsidRDefault="007D3CC6" w:rsidP="007D3CC6">
      <w:pPr>
        <w:rPr>
          <w:b/>
        </w:rPr>
      </w:pPr>
    </w:p>
    <w:p w14:paraId="7A75F9F0" w14:textId="77777777" w:rsidR="007D3CC6" w:rsidRPr="004528F0" w:rsidRDefault="007D3CC6" w:rsidP="007D3CC6">
      <w:pPr>
        <w:rPr>
          <w:b/>
        </w:rPr>
      </w:pPr>
      <w:r>
        <w:rPr>
          <w:b/>
        </w:rPr>
        <w:t>Details of the trading venues</w:t>
      </w:r>
    </w:p>
    <w:p w14:paraId="1B0258B0" w14:textId="77777777" w:rsidR="007D3CC6" w:rsidRDefault="007D3CC6" w:rsidP="007D3C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D3CC6" w14:paraId="64ED1439" w14:textId="77777777" w:rsidTr="00EF09CF">
        <w:tc>
          <w:tcPr>
            <w:tcW w:w="3823" w:type="dxa"/>
          </w:tcPr>
          <w:p w14:paraId="44110C03" w14:textId="77777777" w:rsidR="007D3CC6" w:rsidRPr="004300F6" w:rsidRDefault="007D3CC6" w:rsidP="00EF09CF">
            <w:pPr>
              <w:rPr>
                <w:color w:val="FF0000"/>
              </w:rPr>
            </w:pPr>
            <w:r>
              <w:t xml:space="preserve">Trading venue </w:t>
            </w:r>
            <w:r>
              <w:rPr>
                <w:color w:val="FF0000"/>
                <w:sz w:val="16"/>
              </w:rPr>
              <w:t>(MIC)</w:t>
            </w:r>
          </w:p>
        </w:tc>
        <w:tc>
          <w:tcPr>
            <w:tcW w:w="5239" w:type="dxa"/>
          </w:tcPr>
          <w:p w14:paraId="5D06B225" w14:textId="77777777" w:rsidR="007D3CC6" w:rsidRPr="003E3D4C" w:rsidRDefault="007D3CC6" w:rsidP="00EF09CF">
            <w:r>
              <w:t xml:space="preserve">Competent supervisory authority </w:t>
            </w:r>
          </w:p>
        </w:tc>
      </w:tr>
      <w:tr w:rsidR="007D3CC6" w14:paraId="279FA461" w14:textId="77777777" w:rsidTr="00EF09CF">
        <w:tc>
          <w:tcPr>
            <w:tcW w:w="3823" w:type="dxa"/>
          </w:tcPr>
          <w:p w14:paraId="762DC64A" w14:textId="77777777" w:rsidR="007D3CC6" w:rsidRDefault="007D3CC6" w:rsidP="00EF09CF"/>
          <w:p w14:paraId="551D0130" w14:textId="77777777" w:rsidR="007D3CC6" w:rsidRDefault="007D3CC6" w:rsidP="00EF09CF"/>
        </w:tc>
        <w:tc>
          <w:tcPr>
            <w:tcW w:w="5239" w:type="dxa"/>
          </w:tcPr>
          <w:p w14:paraId="54C37577" w14:textId="77777777" w:rsidR="007D3CC6" w:rsidRDefault="007D3CC6" w:rsidP="00EF09CF"/>
          <w:p w14:paraId="697E26B4" w14:textId="77777777" w:rsidR="007D3CC6" w:rsidRDefault="007D3CC6" w:rsidP="00EF09CF"/>
        </w:tc>
      </w:tr>
      <w:tr w:rsidR="007D3CC6" w14:paraId="386C86B2" w14:textId="77777777" w:rsidTr="00EF09CF">
        <w:tc>
          <w:tcPr>
            <w:tcW w:w="3823" w:type="dxa"/>
          </w:tcPr>
          <w:p w14:paraId="3271E0AD" w14:textId="77777777" w:rsidR="007D3CC6" w:rsidRDefault="007D3CC6" w:rsidP="00EF09CF"/>
          <w:p w14:paraId="55C5129B" w14:textId="77777777" w:rsidR="007D3CC6" w:rsidRDefault="007D3CC6" w:rsidP="00EF09CF"/>
        </w:tc>
        <w:tc>
          <w:tcPr>
            <w:tcW w:w="5239" w:type="dxa"/>
          </w:tcPr>
          <w:p w14:paraId="0467A246" w14:textId="77777777" w:rsidR="007D3CC6" w:rsidRDefault="007D3CC6" w:rsidP="00EF09CF"/>
          <w:p w14:paraId="16C9025E" w14:textId="77777777" w:rsidR="007D3CC6" w:rsidRDefault="007D3CC6" w:rsidP="00EF09CF"/>
        </w:tc>
      </w:tr>
      <w:tr w:rsidR="007D3CC6" w14:paraId="2DA3A274" w14:textId="77777777" w:rsidTr="00EF09CF">
        <w:tc>
          <w:tcPr>
            <w:tcW w:w="3823" w:type="dxa"/>
          </w:tcPr>
          <w:p w14:paraId="36783D7F" w14:textId="77777777" w:rsidR="007D3CC6" w:rsidRDefault="007D3CC6" w:rsidP="00EF09CF"/>
          <w:p w14:paraId="3DDBFB04" w14:textId="77777777" w:rsidR="007D3CC6" w:rsidRDefault="007D3CC6" w:rsidP="00EF09CF"/>
        </w:tc>
        <w:tc>
          <w:tcPr>
            <w:tcW w:w="5239" w:type="dxa"/>
          </w:tcPr>
          <w:p w14:paraId="3B39A60A" w14:textId="77777777" w:rsidR="007D3CC6" w:rsidRDefault="007D3CC6" w:rsidP="00EF09CF"/>
        </w:tc>
      </w:tr>
      <w:tr w:rsidR="007D3CC6" w14:paraId="02DF1995" w14:textId="77777777" w:rsidTr="00EF09CF">
        <w:tc>
          <w:tcPr>
            <w:tcW w:w="3823" w:type="dxa"/>
          </w:tcPr>
          <w:p w14:paraId="799C074A" w14:textId="77777777" w:rsidR="007D3CC6" w:rsidRDefault="007D3CC6" w:rsidP="00EF09CF"/>
          <w:p w14:paraId="71D0A933" w14:textId="77777777" w:rsidR="007D3CC6" w:rsidRDefault="007D3CC6" w:rsidP="00EF09CF"/>
        </w:tc>
        <w:tc>
          <w:tcPr>
            <w:tcW w:w="5239" w:type="dxa"/>
          </w:tcPr>
          <w:p w14:paraId="6CF80B87" w14:textId="77777777" w:rsidR="007D3CC6" w:rsidRDefault="007D3CC6" w:rsidP="00EF09CF"/>
        </w:tc>
      </w:tr>
      <w:tr w:rsidR="007D3CC6" w14:paraId="553230C0" w14:textId="77777777" w:rsidTr="00EF09CF">
        <w:tc>
          <w:tcPr>
            <w:tcW w:w="3823" w:type="dxa"/>
          </w:tcPr>
          <w:p w14:paraId="43E50D05" w14:textId="77777777" w:rsidR="007D3CC6" w:rsidRDefault="007D3CC6" w:rsidP="00EF09CF"/>
          <w:p w14:paraId="453152E2" w14:textId="77777777" w:rsidR="007D3CC6" w:rsidRDefault="007D3CC6" w:rsidP="00EF09CF"/>
        </w:tc>
        <w:tc>
          <w:tcPr>
            <w:tcW w:w="5239" w:type="dxa"/>
          </w:tcPr>
          <w:p w14:paraId="10457F52" w14:textId="77777777" w:rsidR="007D3CC6" w:rsidRDefault="007D3CC6" w:rsidP="00EF09CF"/>
        </w:tc>
      </w:tr>
    </w:tbl>
    <w:p w14:paraId="018505ED" w14:textId="77777777" w:rsidR="007D3CC6" w:rsidRDefault="007D3CC6" w:rsidP="007D3CC6">
      <w:pPr>
        <w:rPr>
          <w:b/>
        </w:rPr>
      </w:pPr>
    </w:p>
    <w:p w14:paraId="67411635" w14:textId="77777777" w:rsidR="007D3CC6" w:rsidRPr="001C120E" w:rsidRDefault="007D3CC6" w:rsidP="007D3CC6">
      <w:pPr>
        <w:rPr>
          <w:b/>
        </w:rPr>
      </w:pPr>
      <w:r>
        <w:rPr>
          <w:b/>
        </w:rPr>
        <w:t xml:space="preserve">Notices: </w:t>
      </w:r>
    </w:p>
    <w:p w14:paraId="46FDE98A" w14:textId="77777777" w:rsidR="007D3CC6" w:rsidRDefault="007D3CC6" w:rsidP="007D3CC6"/>
    <w:p w14:paraId="15F522DC" w14:textId="77777777" w:rsidR="007D3CC6" w:rsidRPr="002F64B0" w:rsidRDefault="007D3CC6" w:rsidP="007D3CC6">
      <w:pPr>
        <w:rPr>
          <w:b/>
        </w:rPr>
      </w:pPr>
      <w:r>
        <w:rPr>
          <w:b/>
        </w:rPr>
        <w:t xml:space="preserve">1) Completing the form </w:t>
      </w:r>
    </w:p>
    <w:p w14:paraId="78470F96" w14:textId="77777777" w:rsidR="007D3CC6" w:rsidRDefault="007D3CC6" w:rsidP="007D3CC6"/>
    <w:p w14:paraId="592DDA23" w14:textId="6B00645F" w:rsidR="007D3CC6" w:rsidRDefault="007D3CC6" w:rsidP="007D3CC6">
      <w:r>
        <w:t xml:space="preserve">Details of the </w:t>
      </w:r>
      <w:r w:rsidR="00D45171">
        <w:t xml:space="preserve">party </w:t>
      </w:r>
      <w:r>
        <w:t xml:space="preserve">subject to the notification requirement: </w:t>
      </w:r>
    </w:p>
    <w:p w14:paraId="4F16593D" w14:textId="77777777" w:rsidR="007D3CC6" w:rsidRDefault="007D3CC6" w:rsidP="007D3CC6"/>
    <w:p w14:paraId="276A61E9" w14:textId="77777777" w:rsidR="007D3CC6" w:rsidRDefault="007D3CC6" w:rsidP="007D3CC6">
      <w:r>
        <w:t xml:space="preserve">These details must be given in full for each notification. </w:t>
      </w:r>
    </w:p>
    <w:p w14:paraId="373AFEF0" w14:textId="77777777" w:rsidR="007D3CC6" w:rsidRDefault="007D3CC6" w:rsidP="007D3CC6"/>
    <w:p w14:paraId="6D53081D" w14:textId="77777777" w:rsidR="007D3CC6" w:rsidRDefault="007D3CC6" w:rsidP="007D3CC6">
      <w:r>
        <w:t xml:space="preserve">Notification: </w:t>
      </w:r>
    </w:p>
    <w:p w14:paraId="256B32F4" w14:textId="77777777" w:rsidR="007D3CC6" w:rsidRDefault="007D3CC6" w:rsidP="007D3CC6"/>
    <w:p w14:paraId="1C8E7C35" w14:textId="1E39E576" w:rsidR="007D3CC6" w:rsidRDefault="007D3CC6" w:rsidP="007D3CC6">
      <w:r>
        <w:t xml:space="preserve">Initial notification that </w:t>
      </w:r>
      <w:r w:rsidR="00D45171">
        <w:t>a party</w:t>
      </w:r>
      <w:r>
        <w:t xml:space="preserve"> is offering direct electronic access to trading venues should be given under (1). If </w:t>
      </w:r>
      <w:r w:rsidR="00A56CDF">
        <w:t>a party</w:t>
      </w:r>
      <w:r>
        <w:t xml:space="preserve"> completely withdraws its offer of direct electronic access, notification of this should be given under (2). Notifications under (1) and (2) are compulsory. Notifications under (3) and (4) regarding sub-delegation, which allows </w:t>
      </w:r>
      <w:r w:rsidR="00D45171">
        <w:t xml:space="preserve">clients </w:t>
      </w:r>
      <w:r>
        <w:t>of the investment services enterprises concerned to provide direct electronic access to their own customers, a</w:t>
      </w:r>
      <w:r w:rsidR="005D3A83">
        <w:t>nd notifications regarding the withdrawal</w:t>
      </w:r>
      <w:r>
        <w:t xml:space="preserve"> of </w:t>
      </w:r>
      <w:r w:rsidR="007C56CA">
        <w:t xml:space="preserve">such </w:t>
      </w:r>
      <w:r>
        <w:t>sub-delegation</w:t>
      </w:r>
      <w:r w:rsidR="007C56CA">
        <w:t>,</w:t>
      </w:r>
      <w:r>
        <w:t xml:space="preserve"> are optional. </w:t>
      </w:r>
    </w:p>
    <w:p w14:paraId="213FAE42" w14:textId="77777777" w:rsidR="007D3CC6" w:rsidRDefault="007D3CC6" w:rsidP="007D3CC6"/>
    <w:p w14:paraId="230CEBE0" w14:textId="77777777" w:rsidR="007D3CC6" w:rsidRDefault="007D3CC6" w:rsidP="007D3CC6">
      <w:r>
        <w:t xml:space="preserve">Details of trading venues: </w:t>
      </w:r>
    </w:p>
    <w:p w14:paraId="41C1B84E" w14:textId="77777777" w:rsidR="007D3CC6" w:rsidRDefault="007D3CC6" w:rsidP="007D3CC6"/>
    <w:p w14:paraId="3FC87090" w14:textId="29F7B28A" w:rsidR="007D3CC6" w:rsidRDefault="007D3CC6" w:rsidP="007D3CC6">
      <w:r>
        <w:t xml:space="preserve">When submitting a notification under (1), all trading venues </w:t>
      </w:r>
      <w:r w:rsidR="00751065">
        <w:t>to which the notification relates</w:t>
      </w:r>
      <w:r>
        <w:t xml:space="preserve"> must be listed in full (including the competent authorities for these trading venues). In the event of</w:t>
      </w:r>
      <w:r w:rsidR="005D3A83">
        <w:t xml:space="preserve"> subsequent</w:t>
      </w:r>
      <w:r>
        <w:t xml:space="preserve"> changes relating to trading venues for which</w:t>
      </w:r>
      <w:r w:rsidR="005D3A83">
        <w:t xml:space="preserve"> a</w:t>
      </w:r>
      <w:r>
        <w:t xml:space="preserve"> notification has already been </w:t>
      </w:r>
      <w:r w:rsidR="005D3A83">
        <w:t>submitted</w:t>
      </w:r>
      <w:r>
        <w:t xml:space="preserve">, </w:t>
      </w:r>
      <w:r w:rsidR="00D45171">
        <w:t>e.g.</w:t>
      </w:r>
      <w:r>
        <w:t xml:space="preserve"> if </w:t>
      </w:r>
      <w:r w:rsidR="00A56CDF">
        <w:t>a party</w:t>
      </w:r>
      <w:r>
        <w:t xml:space="preserve"> offers direct electronic access to different or additional trading venues, notification under (1) must be given again. In such cases, all trading venues </w:t>
      </w:r>
      <w:r w:rsidR="00751065">
        <w:t>included in</w:t>
      </w:r>
      <w:r>
        <w:t xml:space="preserve"> the notification given must be listed again. Th</w:t>
      </w:r>
      <w:r w:rsidR="00B7216C">
        <w:t>is</w:t>
      </w:r>
      <w:r>
        <w:t xml:space="preserve"> also applies if notification regarding the trading venues has already been submitted as part of </w:t>
      </w:r>
      <w:r w:rsidR="005D3A83">
        <w:t>the</w:t>
      </w:r>
      <w:r>
        <w:t xml:space="preserve"> previous notification. If there is not enough </w:t>
      </w:r>
      <w:r w:rsidR="00C13852">
        <w:t>space</w:t>
      </w:r>
      <w:r>
        <w:t xml:space="preserve"> on the notification form, additional trading venues can be listed on a separate sheet of paper.</w:t>
      </w:r>
    </w:p>
    <w:p w14:paraId="07931131" w14:textId="77777777" w:rsidR="007D3CC6" w:rsidRDefault="007D3CC6" w:rsidP="007D3CC6"/>
    <w:p w14:paraId="30074637" w14:textId="77777777" w:rsidR="007D3CC6" w:rsidRPr="00265A42" w:rsidRDefault="007D3CC6" w:rsidP="007D3CC6">
      <w:pPr>
        <w:rPr>
          <w:b/>
        </w:rPr>
      </w:pPr>
      <w:r>
        <w:rPr>
          <w:b/>
        </w:rPr>
        <w:t xml:space="preserve">2) Submitting the notification   </w:t>
      </w:r>
    </w:p>
    <w:p w14:paraId="221D756A" w14:textId="77777777" w:rsidR="007D3CC6" w:rsidRDefault="007D3CC6" w:rsidP="007D3CC6"/>
    <w:p w14:paraId="5F2E1748" w14:textId="7836A49C" w:rsidR="007D3CC6" w:rsidRDefault="007D3CC6" w:rsidP="007D3CC6">
      <w:r>
        <w:t xml:space="preserve">The completed notification must be sent by e-mail to: </w:t>
      </w:r>
      <w:r w:rsidR="000C66CE">
        <w:t>dea</w:t>
      </w:r>
      <w:r>
        <w:t xml:space="preserve">anzeige@bafin.de    </w:t>
      </w:r>
    </w:p>
    <w:p w14:paraId="064012B5" w14:textId="77777777" w:rsidR="007D3CC6" w:rsidRPr="009B1F28" w:rsidRDefault="007D3CC6" w:rsidP="007D3CC6">
      <w:pPr>
        <w:rPr>
          <w:b/>
        </w:rPr>
      </w:pPr>
    </w:p>
    <w:p w14:paraId="631A4C4B" w14:textId="77777777" w:rsidR="007D3CC6" w:rsidRDefault="007D3CC6" w:rsidP="007D3CC6"/>
    <w:p w14:paraId="02EDCF56" w14:textId="77777777" w:rsidR="007D3CC6" w:rsidRDefault="007D3CC6" w:rsidP="007D3CC6"/>
    <w:p w14:paraId="7837D3E8" w14:textId="77777777" w:rsidR="007D3CC6" w:rsidRPr="00265A42" w:rsidRDefault="007D3CC6" w:rsidP="007D3CC6">
      <w:pPr>
        <w:rPr>
          <w:b/>
        </w:rPr>
      </w:pPr>
      <w:r>
        <w:rPr>
          <w:b/>
        </w:rPr>
        <w:t xml:space="preserve">3) BaFin's powers   </w:t>
      </w:r>
    </w:p>
    <w:p w14:paraId="10C957EF" w14:textId="77777777" w:rsidR="007D3CC6" w:rsidRDefault="007D3CC6" w:rsidP="007D3CC6"/>
    <w:p w14:paraId="173F1E8E" w14:textId="6546C0E8" w:rsidR="007D3CC6" w:rsidRDefault="007D3CC6" w:rsidP="007D3CC6">
      <w:r>
        <w:t xml:space="preserve">BaFin may obtain further information from the investment services enterprises </w:t>
      </w:r>
      <w:r w:rsidR="00A56CDF">
        <w:t xml:space="preserve">concerned </w:t>
      </w:r>
      <w:r>
        <w:t xml:space="preserve">without regard </w:t>
      </w:r>
      <w:r w:rsidR="005D3A83">
        <w:t>to</w:t>
      </w:r>
      <w:r>
        <w:t xml:space="preserve"> the notification concerning direct electronic access to trading venues. </w:t>
      </w:r>
      <w:r w:rsidR="00721B9F">
        <w:t>For instance</w:t>
      </w:r>
      <w:r>
        <w:t xml:space="preserve">, pursuant to section 77 (2) sentence 2 of the WpHG, BaFin may request that an investment services enterprise offering direct electronic access provide, regularly or at any time upon request, a description of the systems and controls specified in section 77 (1) of the WpHG </w:t>
      </w:r>
      <w:r w:rsidR="00D45171">
        <w:t>as well as</w:t>
      </w:r>
      <w:r>
        <w:t xml:space="preserve"> evidence of their </w:t>
      </w:r>
      <w:r w:rsidR="00721B9F">
        <w:t>implementation</w:t>
      </w:r>
      <w:r>
        <w:t xml:space="preserve">. </w:t>
      </w:r>
    </w:p>
    <w:p w14:paraId="6B83DFEF" w14:textId="77777777" w:rsidR="00F74212" w:rsidRDefault="00F74212"/>
    <w:sectPr w:rsidR="00F74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C6"/>
    <w:rsid w:val="00000B87"/>
    <w:rsid w:val="000C66CE"/>
    <w:rsid w:val="00120067"/>
    <w:rsid w:val="00170C33"/>
    <w:rsid w:val="00175562"/>
    <w:rsid w:val="00194458"/>
    <w:rsid w:val="001E1B59"/>
    <w:rsid w:val="00324892"/>
    <w:rsid w:val="0032521D"/>
    <w:rsid w:val="0039213B"/>
    <w:rsid w:val="004B40F8"/>
    <w:rsid w:val="005920F2"/>
    <w:rsid w:val="005A5F6B"/>
    <w:rsid w:val="005D3A83"/>
    <w:rsid w:val="005D4FA8"/>
    <w:rsid w:val="00611402"/>
    <w:rsid w:val="00612837"/>
    <w:rsid w:val="00652321"/>
    <w:rsid w:val="00694B3B"/>
    <w:rsid w:val="00721B9F"/>
    <w:rsid w:val="00725C30"/>
    <w:rsid w:val="00751065"/>
    <w:rsid w:val="007C56CA"/>
    <w:rsid w:val="007D3CC6"/>
    <w:rsid w:val="008B3E40"/>
    <w:rsid w:val="00912744"/>
    <w:rsid w:val="009B1F28"/>
    <w:rsid w:val="009D5AA7"/>
    <w:rsid w:val="00A23E05"/>
    <w:rsid w:val="00A56CDF"/>
    <w:rsid w:val="00AC4AEA"/>
    <w:rsid w:val="00B71979"/>
    <w:rsid w:val="00B7216C"/>
    <w:rsid w:val="00BA0138"/>
    <w:rsid w:val="00BE4963"/>
    <w:rsid w:val="00C13852"/>
    <w:rsid w:val="00C2301D"/>
    <w:rsid w:val="00D45171"/>
    <w:rsid w:val="00D61026"/>
    <w:rsid w:val="00DD640F"/>
    <w:rsid w:val="00EA2E30"/>
    <w:rsid w:val="00EC2956"/>
    <w:rsid w:val="00EC6206"/>
    <w:rsid w:val="00F74212"/>
    <w:rsid w:val="00F82968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F5D"/>
  <w15:chartTrackingRefBased/>
  <w15:docId w15:val="{4871A411-7BC2-455C-9066-11931704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CC6"/>
    <w:pPr>
      <w:spacing w:after="0" w:line="260" w:lineRule="atLeast"/>
    </w:pPr>
    <w:rPr>
      <w:rFonts w:ascii="Verdana" w:hAnsi="Verdana" w:cs="Times New Roman"/>
      <w:kern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B87"/>
    <w:rPr>
      <w:rFonts w:ascii="Segoe UI" w:hAnsi="Segoe UI" w:cs="Segoe UI"/>
      <w:kern w:val="10"/>
      <w:sz w:val="18"/>
      <w:szCs w:val="18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1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17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171"/>
    <w:rPr>
      <w:rFonts w:ascii="Verdana" w:hAnsi="Verdana" w:cs="Times New Roman"/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171"/>
    <w:rPr>
      <w:rFonts w:ascii="Verdana" w:hAnsi="Verdana" w:cs="Times New Roman"/>
      <w:b/>
      <w:bCs/>
      <w:kern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Ortkemperbi</dc:creator>
  <cp:keywords/>
  <dc:description/>
  <cp:lastModifiedBy>Kathrin Schneider</cp:lastModifiedBy>
  <cp:revision>2</cp:revision>
  <dcterms:created xsi:type="dcterms:W3CDTF">2018-01-05T10:19:00Z</dcterms:created>
  <dcterms:modified xsi:type="dcterms:W3CDTF">2018-01-05T10:19:00Z</dcterms:modified>
</cp:coreProperties>
</file>